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0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1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4B1E4" w14:textId="77777777" w:rsidR="004D3DC1" w:rsidRPr="00020377" w:rsidRDefault="004D3DC1" w:rsidP="004D3DC1">
      <w:pPr>
        <w:rPr>
          <w:rFonts w:ascii="Ravensbourne Sans" w:hAnsi="Ravensbourne Sans"/>
          <w:color w:val="0070C0"/>
          <w:sz w:val="32"/>
          <w:szCs w:val="32"/>
        </w:rPr>
      </w:pPr>
      <w:bookmarkStart w:id="0" w:name="_GoBack"/>
      <w:bookmarkEnd w:id="0"/>
      <w:r w:rsidRPr="00020377">
        <w:rPr>
          <w:rFonts w:ascii="Ravensbourne Sans" w:hAnsi="Ravensbourne Sans"/>
          <w:color w:val="0070C0"/>
          <w:sz w:val="32"/>
          <w:szCs w:val="32"/>
        </w:rPr>
        <w:t xml:space="preserve">RAVENSBOURNE </w:t>
      </w:r>
    </w:p>
    <w:p w14:paraId="03394874" w14:textId="20EBEF45" w:rsidR="004D3DC1" w:rsidRPr="00020377" w:rsidRDefault="004D3DC1" w:rsidP="004D3DC1">
      <w:pPr>
        <w:rPr>
          <w:rFonts w:ascii="Ravensbourne Sans" w:hAnsi="Ravensbourne Sans"/>
          <w:color w:val="0070C0"/>
          <w:sz w:val="32"/>
          <w:szCs w:val="32"/>
        </w:rPr>
      </w:pPr>
      <w:r w:rsidRPr="00020377">
        <w:rPr>
          <w:rFonts w:ascii="Ravensbourne Sans" w:hAnsi="Ravensbourne Sans"/>
          <w:color w:val="0070C0"/>
          <w:sz w:val="32"/>
          <w:szCs w:val="32"/>
        </w:rPr>
        <w:t xml:space="preserve">ANNUAL </w:t>
      </w:r>
      <w:r w:rsidR="008A4BEC" w:rsidRPr="00020377">
        <w:rPr>
          <w:rFonts w:ascii="Ravensbourne Sans" w:hAnsi="Ravensbourne Sans"/>
          <w:color w:val="0070C0"/>
          <w:sz w:val="32"/>
          <w:szCs w:val="32"/>
        </w:rPr>
        <w:t>STAFF DIVERSITY REPORT 2016-17</w:t>
      </w:r>
    </w:p>
    <w:p w14:paraId="3D488CEE" w14:textId="77777777" w:rsidR="00FD33B6" w:rsidRDefault="00FD33B6" w:rsidP="004D3DC1">
      <w:pPr>
        <w:rPr>
          <w:rFonts w:ascii="Ravensbourne Sans" w:hAnsi="Ravensbourne Sans"/>
          <w:sz w:val="24"/>
          <w:szCs w:val="24"/>
        </w:rPr>
      </w:pPr>
    </w:p>
    <w:p w14:paraId="78E10A95" w14:textId="7CB4DBF0" w:rsidR="004D3DC1" w:rsidRPr="00020377" w:rsidRDefault="00834E33" w:rsidP="004D3DC1">
      <w:pPr>
        <w:rPr>
          <w:rFonts w:ascii="Ravensbourne Sans" w:hAnsi="Ravensbourne Sans"/>
          <w:b/>
          <w:color w:val="4F81BD" w:themeColor="accent1"/>
          <w:sz w:val="24"/>
          <w:szCs w:val="24"/>
        </w:rPr>
      </w:pPr>
      <w:r w:rsidRPr="00020377">
        <w:rPr>
          <w:rFonts w:ascii="Ravensbourne Sans" w:hAnsi="Ravensbourne Sans"/>
          <w:b/>
          <w:color w:val="4F81BD" w:themeColor="accent1"/>
          <w:sz w:val="24"/>
          <w:szCs w:val="24"/>
        </w:rPr>
        <w:t>1</w:t>
      </w:r>
      <w:r w:rsidRPr="00020377">
        <w:rPr>
          <w:rFonts w:ascii="Ravensbourne Sans" w:hAnsi="Ravensbourne Sans"/>
          <w:b/>
          <w:color w:val="4F81BD" w:themeColor="accent1"/>
          <w:sz w:val="24"/>
          <w:szCs w:val="24"/>
        </w:rPr>
        <w:tab/>
      </w:r>
      <w:r w:rsidR="00F404FC">
        <w:rPr>
          <w:rFonts w:ascii="Ravensbourne Sans" w:hAnsi="Ravensbourne Sans"/>
          <w:b/>
          <w:color w:val="4F81BD" w:themeColor="accent1"/>
          <w:sz w:val="24"/>
          <w:szCs w:val="24"/>
        </w:rPr>
        <w:t>Executive Summary</w:t>
      </w:r>
    </w:p>
    <w:p w14:paraId="57126D0E" w14:textId="426ADD2E" w:rsidR="00287FE0" w:rsidRPr="00C86943" w:rsidRDefault="00287FE0" w:rsidP="00287FE0">
      <w:pPr>
        <w:rPr>
          <w:rFonts w:ascii="Ravensbourne Sans" w:hAnsi="Ravensbourne Sans"/>
          <w:sz w:val="24"/>
          <w:szCs w:val="24"/>
        </w:rPr>
      </w:pPr>
      <w:r w:rsidRPr="00C86943">
        <w:rPr>
          <w:rFonts w:ascii="Ravensbourne Sans" w:hAnsi="Ravensbourne Sans"/>
          <w:sz w:val="24"/>
          <w:szCs w:val="24"/>
        </w:rPr>
        <w:t>The annual Staff Diversity Report provides a</w:t>
      </w:r>
      <w:r>
        <w:rPr>
          <w:rFonts w:ascii="Ravensbourne Sans" w:hAnsi="Ravensbourne Sans"/>
          <w:sz w:val="24"/>
          <w:szCs w:val="24"/>
        </w:rPr>
        <w:t xml:space="preserve"> summary </w:t>
      </w:r>
      <w:r w:rsidRPr="00C86943">
        <w:rPr>
          <w:rFonts w:ascii="Ravensbourne Sans" w:hAnsi="Ravensbourne Sans"/>
          <w:sz w:val="24"/>
          <w:szCs w:val="24"/>
        </w:rPr>
        <w:t xml:space="preserve">of progress against objectives for </w:t>
      </w:r>
      <w:r>
        <w:rPr>
          <w:rFonts w:ascii="Ravensbourne Sans" w:hAnsi="Ravensbourne Sans"/>
          <w:sz w:val="24"/>
          <w:szCs w:val="24"/>
        </w:rPr>
        <w:t xml:space="preserve">2016/17. </w:t>
      </w:r>
      <w:r w:rsidRPr="00F404FC">
        <w:rPr>
          <w:rFonts w:ascii="Ravensbourne Sans" w:hAnsi="Ravensbourne Sans"/>
          <w:sz w:val="24"/>
          <w:szCs w:val="24"/>
        </w:rPr>
        <w:t xml:space="preserve">The Equality and Diversity Policies and Procedures </w:t>
      </w:r>
      <w:r w:rsidR="00DF082E">
        <w:rPr>
          <w:rFonts w:ascii="Ravensbourne Sans" w:hAnsi="Ravensbourne Sans"/>
          <w:sz w:val="24"/>
          <w:szCs w:val="24"/>
        </w:rPr>
        <w:t xml:space="preserve">are provided in Annex One </w:t>
      </w:r>
      <w:r w:rsidRPr="00B84819">
        <w:rPr>
          <w:rFonts w:ascii="Ravensbourne Sans" w:hAnsi="Ravensbourne Sans"/>
          <w:sz w:val="24"/>
          <w:szCs w:val="24"/>
        </w:rPr>
        <w:t>and</w:t>
      </w:r>
      <w:r>
        <w:rPr>
          <w:rFonts w:ascii="Ravensbourne Sans" w:hAnsi="Ravensbourne Sans"/>
          <w:sz w:val="24"/>
          <w:szCs w:val="24"/>
        </w:rPr>
        <w:t xml:space="preserve"> </w:t>
      </w:r>
      <w:r w:rsidR="00DF082E">
        <w:rPr>
          <w:rFonts w:ascii="Ravensbourne Sans" w:hAnsi="Ravensbourne Sans"/>
          <w:sz w:val="24"/>
          <w:szCs w:val="24"/>
        </w:rPr>
        <w:t>sets out</w:t>
      </w:r>
      <w:r w:rsidR="001C4D40">
        <w:rPr>
          <w:rFonts w:ascii="Ravensbourne Sans" w:hAnsi="Ravensbourne Sans"/>
          <w:sz w:val="24"/>
          <w:szCs w:val="24"/>
        </w:rPr>
        <w:t xml:space="preserve"> the</w:t>
      </w:r>
      <w:r>
        <w:rPr>
          <w:rFonts w:ascii="Ravensbourne Sans" w:hAnsi="Ravensbourne Sans"/>
          <w:sz w:val="24"/>
          <w:szCs w:val="24"/>
        </w:rPr>
        <w:t xml:space="preserve"> broader </w:t>
      </w:r>
      <w:r w:rsidR="00033A8E">
        <w:rPr>
          <w:rFonts w:ascii="Ravensbourne Sans" w:hAnsi="Ravensbourne Sans"/>
          <w:sz w:val="24"/>
          <w:szCs w:val="24"/>
        </w:rPr>
        <w:t xml:space="preserve">policy </w:t>
      </w:r>
      <w:r w:rsidR="00776747">
        <w:rPr>
          <w:rFonts w:ascii="Ravensbourne Sans" w:hAnsi="Ravensbourne Sans"/>
          <w:sz w:val="24"/>
          <w:szCs w:val="24"/>
        </w:rPr>
        <w:t>framework</w:t>
      </w:r>
      <w:r>
        <w:rPr>
          <w:rFonts w:ascii="Ravensbourne Sans" w:hAnsi="Ravensbourne Sans"/>
          <w:sz w:val="24"/>
          <w:szCs w:val="24"/>
        </w:rPr>
        <w:t xml:space="preserve"> </w:t>
      </w:r>
      <w:r w:rsidR="001C4D40">
        <w:rPr>
          <w:rFonts w:ascii="Ravensbourne Sans" w:hAnsi="Ravensbourne Sans"/>
          <w:sz w:val="24"/>
          <w:szCs w:val="24"/>
        </w:rPr>
        <w:t>in which we operate.</w:t>
      </w:r>
      <w:r w:rsidRPr="00C86943">
        <w:rPr>
          <w:rFonts w:ascii="Ravensbourne Sans" w:hAnsi="Ravensbourne Sans"/>
          <w:sz w:val="24"/>
          <w:szCs w:val="24"/>
        </w:rPr>
        <w:t xml:space="preserve"> </w:t>
      </w:r>
    </w:p>
    <w:p w14:paraId="78EE9404" w14:textId="77777777" w:rsidR="00287FE0" w:rsidRDefault="00287FE0" w:rsidP="00287FE0">
      <w:pPr>
        <w:rPr>
          <w:rFonts w:ascii="Ravensbourne Sans" w:hAnsi="Ravensbourne Sans"/>
          <w:sz w:val="24"/>
          <w:szCs w:val="24"/>
        </w:rPr>
      </w:pPr>
      <w:r>
        <w:rPr>
          <w:rFonts w:ascii="Ravensbourne Sans" w:hAnsi="Ravensbourne Sans"/>
          <w:sz w:val="24"/>
          <w:szCs w:val="24"/>
        </w:rPr>
        <w:t xml:space="preserve">The bullet-pointed headlines below for 2016/17 remained </w:t>
      </w:r>
      <w:r w:rsidRPr="00A67A38">
        <w:rPr>
          <w:rFonts w:ascii="Ravensbourne Sans" w:hAnsi="Ravensbourne Sans"/>
          <w:b/>
          <w:sz w:val="24"/>
          <w:szCs w:val="24"/>
        </w:rPr>
        <w:t>unchanged</w:t>
      </w:r>
      <w:r>
        <w:rPr>
          <w:rFonts w:ascii="Ravensbourne Sans" w:hAnsi="Ravensbourne Sans"/>
          <w:sz w:val="24"/>
          <w:szCs w:val="24"/>
        </w:rPr>
        <w:t xml:space="preserve"> from the previous reporting year across the following KPIs:</w:t>
      </w:r>
    </w:p>
    <w:p w14:paraId="73B146CD" w14:textId="1DA59F2A" w:rsidR="00287FE0" w:rsidRPr="0041569E" w:rsidRDefault="00DF31EC" w:rsidP="00287FE0">
      <w:pPr>
        <w:pStyle w:val="ListParagraph"/>
        <w:numPr>
          <w:ilvl w:val="0"/>
          <w:numId w:val="17"/>
        </w:numPr>
        <w:rPr>
          <w:rFonts w:ascii="Ravensbourne Sans" w:hAnsi="Ravensbourne Sans"/>
          <w:sz w:val="24"/>
          <w:szCs w:val="24"/>
        </w:rPr>
      </w:pPr>
      <w:r>
        <w:rPr>
          <w:rFonts w:ascii="Ravensbourne Sans" w:hAnsi="Ravensbourne Sans"/>
          <w:sz w:val="24"/>
          <w:szCs w:val="24"/>
        </w:rPr>
        <w:t xml:space="preserve">The workforce gender profile: </w:t>
      </w:r>
      <w:r w:rsidR="00287FE0" w:rsidRPr="0041569E">
        <w:rPr>
          <w:rFonts w:ascii="Ravensbourne Sans" w:hAnsi="Ravensbourne Sans"/>
          <w:sz w:val="24"/>
          <w:szCs w:val="24"/>
        </w:rPr>
        <w:t>51% female staff and 49% male staff</w:t>
      </w:r>
    </w:p>
    <w:p w14:paraId="72F60F4B" w14:textId="77777777" w:rsidR="00287FE0" w:rsidRPr="0041569E" w:rsidRDefault="00287FE0" w:rsidP="00287FE0">
      <w:pPr>
        <w:pStyle w:val="ListParagraph"/>
        <w:numPr>
          <w:ilvl w:val="0"/>
          <w:numId w:val="17"/>
        </w:numPr>
        <w:rPr>
          <w:rFonts w:ascii="Ravensbourne Sans" w:hAnsi="Ravensbourne Sans"/>
          <w:sz w:val="24"/>
          <w:szCs w:val="24"/>
        </w:rPr>
      </w:pPr>
      <w:r w:rsidRPr="0041569E">
        <w:rPr>
          <w:rFonts w:ascii="Ravensbourne Sans" w:hAnsi="Ravensbourne Sans"/>
          <w:sz w:val="24"/>
          <w:szCs w:val="24"/>
        </w:rPr>
        <w:t>Overall BAME representation: 23% of the workforce</w:t>
      </w:r>
    </w:p>
    <w:p w14:paraId="64B5B4F1" w14:textId="77777777" w:rsidR="00287FE0" w:rsidRPr="0041569E" w:rsidRDefault="00287FE0" w:rsidP="00287FE0">
      <w:pPr>
        <w:pStyle w:val="ListParagraph"/>
        <w:numPr>
          <w:ilvl w:val="0"/>
          <w:numId w:val="17"/>
        </w:numPr>
        <w:rPr>
          <w:rFonts w:ascii="Ravensbourne Sans" w:hAnsi="Ravensbourne Sans"/>
          <w:sz w:val="24"/>
          <w:szCs w:val="24"/>
        </w:rPr>
      </w:pPr>
      <w:r w:rsidRPr="0041569E">
        <w:rPr>
          <w:rFonts w:ascii="Ravensbourne Sans" w:hAnsi="Ravensbourne Sans"/>
          <w:sz w:val="24"/>
          <w:szCs w:val="24"/>
        </w:rPr>
        <w:t>Disabled staff: 12%</w:t>
      </w:r>
    </w:p>
    <w:p w14:paraId="4911AF7A" w14:textId="77777777" w:rsidR="00287FE0" w:rsidRDefault="00287FE0" w:rsidP="00287FE0">
      <w:pPr>
        <w:rPr>
          <w:rFonts w:ascii="Ravensbourne Sans" w:hAnsi="Ravensbourne Sans"/>
          <w:sz w:val="24"/>
          <w:szCs w:val="24"/>
        </w:rPr>
      </w:pPr>
      <w:r>
        <w:rPr>
          <w:rFonts w:ascii="Ravensbourne Sans" w:hAnsi="Ravensbourne Sans"/>
          <w:sz w:val="24"/>
          <w:szCs w:val="24"/>
        </w:rPr>
        <w:t>The key points underlying the gender and BAME figures are that:</w:t>
      </w:r>
    </w:p>
    <w:p w14:paraId="4685BBE7" w14:textId="77777777" w:rsidR="00287FE0" w:rsidRPr="00843FCA" w:rsidRDefault="00287FE0" w:rsidP="00287FE0">
      <w:pPr>
        <w:pStyle w:val="ListParagraph"/>
        <w:numPr>
          <w:ilvl w:val="0"/>
          <w:numId w:val="19"/>
        </w:numPr>
        <w:rPr>
          <w:rFonts w:ascii="Ravensbourne Sans" w:hAnsi="Ravensbourne Sans"/>
          <w:sz w:val="24"/>
          <w:szCs w:val="24"/>
        </w:rPr>
      </w:pPr>
      <w:r w:rsidRPr="00843FCA">
        <w:rPr>
          <w:rFonts w:ascii="Ravensbourne Sans" w:hAnsi="Ravensbourne Sans"/>
          <w:sz w:val="24"/>
          <w:szCs w:val="24"/>
        </w:rPr>
        <w:t>Whilst there is a fairly even balance overall in the gender composition in the workforce, there was – 2 percentage point decrease in the female academic staffing.</w:t>
      </w:r>
    </w:p>
    <w:p w14:paraId="13866BEE" w14:textId="77777777" w:rsidR="00287FE0" w:rsidRPr="00843FCA" w:rsidRDefault="00287FE0" w:rsidP="00287FE0">
      <w:pPr>
        <w:pStyle w:val="ListParagraph"/>
        <w:numPr>
          <w:ilvl w:val="0"/>
          <w:numId w:val="19"/>
        </w:numPr>
        <w:rPr>
          <w:rFonts w:ascii="Ravensbourne Sans" w:hAnsi="Ravensbourne Sans"/>
          <w:sz w:val="24"/>
          <w:szCs w:val="24"/>
        </w:rPr>
      </w:pPr>
      <w:r w:rsidRPr="00843FCA">
        <w:rPr>
          <w:rFonts w:ascii="Ravensbourne Sans" w:hAnsi="Ravensbourne Sans"/>
          <w:sz w:val="24"/>
          <w:szCs w:val="24"/>
        </w:rPr>
        <w:t xml:space="preserve">The BAME staffing representation for 2016/17 was respectable, however, the majority of employees are employed within the Professional Services; academic BAME staff continues to remain stubbornly low. </w:t>
      </w:r>
    </w:p>
    <w:p w14:paraId="26E7493A" w14:textId="77777777" w:rsidR="00287FE0" w:rsidRDefault="00287FE0" w:rsidP="00287FE0">
      <w:pPr>
        <w:rPr>
          <w:rFonts w:ascii="Ravensbourne Sans" w:hAnsi="Ravensbourne Sans"/>
          <w:sz w:val="24"/>
          <w:szCs w:val="24"/>
        </w:rPr>
      </w:pPr>
      <w:r>
        <w:rPr>
          <w:rFonts w:ascii="Ravensbourne Sans" w:hAnsi="Ravensbourne Sans"/>
          <w:sz w:val="24"/>
          <w:szCs w:val="24"/>
        </w:rPr>
        <w:t xml:space="preserve">In both cases, alternative approaches need to agreed and actioned in order to potentially effect faster change.  </w:t>
      </w:r>
    </w:p>
    <w:p w14:paraId="11F0FFA7" w14:textId="77777777" w:rsidR="00287FE0" w:rsidRDefault="00287FE0" w:rsidP="00287FE0">
      <w:pPr>
        <w:rPr>
          <w:rFonts w:ascii="Ravensbourne Sans" w:hAnsi="Ravensbourne Sans"/>
          <w:sz w:val="24"/>
          <w:szCs w:val="24"/>
        </w:rPr>
      </w:pPr>
    </w:p>
    <w:p w14:paraId="25B797FE" w14:textId="77777777" w:rsidR="0047010A" w:rsidRPr="0041569E" w:rsidRDefault="0047010A" w:rsidP="0047010A">
      <w:pPr>
        <w:pStyle w:val="ListParagraph"/>
        <w:rPr>
          <w:rFonts w:ascii="Ravensbourne Sans" w:hAnsi="Ravensbourne Sans"/>
          <w:sz w:val="24"/>
          <w:szCs w:val="24"/>
        </w:rPr>
      </w:pPr>
    </w:p>
    <w:p w14:paraId="6FEE5E4B" w14:textId="77777777" w:rsidR="007009A3" w:rsidRDefault="007009A3" w:rsidP="004D3DC1">
      <w:pPr>
        <w:rPr>
          <w:rFonts w:ascii="Ravensbourne Sans" w:hAnsi="Ravensbourne Sans"/>
          <w:sz w:val="24"/>
          <w:szCs w:val="24"/>
          <w:highlight w:val="yellow"/>
        </w:rPr>
      </w:pPr>
    </w:p>
    <w:p w14:paraId="26A4682C" w14:textId="77777777" w:rsidR="007009A3" w:rsidRDefault="007009A3" w:rsidP="004D3DC1">
      <w:pPr>
        <w:rPr>
          <w:rFonts w:ascii="Ravensbourne Sans" w:hAnsi="Ravensbourne Sans"/>
          <w:sz w:val="24"/>
          <w:szCs w:val="24"/>
          <w:highlight w:val="yellow"/>
        </w:rPr>
      </w:pPr>
    </w:p>
    <w:p w14:paraId="326CAD1D" w14:textId="77777777" w:rsidR="00020377" w:rsidRDefault="00020377" w:rsidP="004D3DC1">
      <w:pPr>
        <w:rPr>
          <w:rFonts w:ascii="Ravensbourne Sans" w:hAnsi="Ravensbourne Sans"/>
          <w:sz w:val="24"/>
          <w:szCs w:val="24"/>
          <w:highlight w:val="yellow"/>
        </w:rPr>
        <w:sectPr w:rsidR="00020377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0B4646" w14:textId="77777777" w:rsidR="00F06FA4" w:rsidRDefault="00FD33B6" w:rsidP="00F06FA4">
      <w:pPr>
        <w:rPr>
          <w:rFonts w:ascii="Ravensbourne Sans" w:hAnsi="Ravensbourne Sans"/>
          <w:b/>
          <w:color w:val="0070C0"/>
          <w:sz w:val="24"/>
          <w:szCs w:val="24"/>
        </w:rPr>
      </w:pPr>
      <w:r w:rsidRPr="00020377">
        <w:rPr>
          <w:rFonts w:ascii="Ravensbourne Sans" w:hAnsi="Ravensbourne Sans"/>
          <w:color w:val="0070C0"/>
          <w:sz w:val="24"/>
          <w:szCs w:val="24"/>
        </w:rPr>
        <w:lastRenderedPageBreak/>
        <w:t>4</w:t>
      </w:r>
      <w:r w:rsidR="003A4396" w:rsidRPr="00020377">
        <w:rPr>
          <w:rFonts w:ascii="Ravensbourne Sans" w:hAnsi="Ravensbourne Sans"/>
          <w:color w:val="0070C0"/>
          <w:sz w:val="24"/>
          <w:szCs w:val="24"/>
        </w:rPr>
        <w:tab/>
      </w:r>
      <w:r w:rsidR="001B425C" w:rsidRPr="00020377">
        <w:rPr>
          <w:rFonts w:ascii="Ravensbourne Sans" w:hAnsi="Ravensbourne Sans"/>
          <w:b/>
          <w:color w:val="0070C0"/>
          <w:sz w:val="24"/>
          <w:szCs w:val="24"/>
        </w:rPr>
        <w:t>Diversity Staffing KPIs: Trend Analysis</w:t>
      </w:r>
    </w:p>
    <w:p w14:paraId="03711BB5" w14:textId="3BD05729" w:rsidR="005F7A7A" w:rsidRDefault="00F06FA4" w:rsidP="00F06FA4">
      <w:pPr>
        <w:rPr>
          <w:rFonts w:ascii="Ravensbourne Sans" w:hAnsi="Ravensbourne Sans"/>
          <w:b/>
          <w:color w:val="0070C0"/>
          <w:sz w:val="24"/>
          <w:szCs w:val="24"/>
        </w:rPr>
      </w:pPr>
      <w:r w:rsidRPr="00F06FA4">
        <w:rPr>
          <w:rFonts w:ascii="Ravensbourne Sans" w:hAnsi="Ravensbourne Sans"/>
          <w:b/>
          <w:color w:val="0070C0"/>
          <w:sz w:val="24"/>
          <w:szCs w:val="24"/>
        </w:rPr>
        <w:t xml:space="preserve">4.1 </w:t>
      </w:r>
      <w:r w:rsidRPr="00F06FA4">
        <w:rPr>
          <w:rFonts w:ascii="Ravensbourne Sans" w:hAnsi="Ravensbourne Sans"/>
          <w:b/>
          <w:color w:val="0070C0"/>
          <w:sz w:val="24"/>
          <w:szCs w:val="24"/>
        </w:rPr>
        <w:tab/>
      </w:r>
      <w:r w:rsidR="005F7A7A" w:rsidRPr="00F06FA4">
        <w:rPr>
          <w:rFonts w:ascii="Ravensbourne Sans" w:hAnsi="Ravensbourne Sans"/>
          <w:b/>
          <w:color w:val="0070C0"/>
          <w:sz w:val="24"/>
          <w:szCs w:val="24"/>
        </w:rPr>
        <w:t>Gender</w:t>
      </w:r>
    </w:p>
    <w:p w14:paraId="42AC9311" w14:textId="52F7E042" w:rsidR="00F677DD" w:rsidRPr="00F677DD" w:rsidRDefault="00F677DD" w:rsidP="00753C69">
      <w:pPr>
        <w:spacing w:line="240" w:lineRule="auto"/>
        <w:rPr>
          <w:rFonts w:ascii="Ravensbourne Sans" w:hAnsi="Ravensbourne Sans"/>
          <w:b/>
          <w:color w:val="17365D" w:themeColor="text2" w:themeShade="BF"/>
          <w:sz w:val="24"/>
          <w:szCs w:val="24"/>
        </w:rPr>
      </w:pPr>
      <w:r w:rsidRPr="00F677DD">
        <w:rPr>
          <w:rFonts w:ascii="Ravensbourne Sans" w:hAnsi="Ravensbourne Sans"/>
          <w:b/>
          <w:color w:val="17365D" w:themeColor="text2" w:themeShade="BF"/>
          <w:sz w:val="24"/>
          <w:szCs w:val="24"/>
        </w:rPr>
        <w:t>Chart 1</w:t>
      </w:r>
    </w:p>
    <w:p w14:paraId="02E560C9" w14:textId="3AC15ABC" w:rsidR="00F33C63" w:rsidRDefault="006E0075" w:rsidP="005F7A7A">
      <w:pPr>
        <w:shd w:val="clear" w:color="auto" w:fill="FFFFFF"/>
        <w:spacing w:after="0" w:line="240" w:lineRule="auto"/>
        <w:rPr>
          <w:rFonts w:ascii="Ravensbourne Sans" w:eastAsia="Times New Roman" w:hAnsi="Ravensbourne Sans" w:cs="Arial"/>
          <w:bCs/>
          <w:color w:val="000000" w:themeColor="text1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CAE611C" wp14:editId="65ADADE6">
            <wp:extent cx="4237355" cy="3371850"/>
            <wp:effectExtent l="0" t="0" r="1079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12DF116" w14:textId="77777777" w:rsidR="00DD72FA" w:rsidRDefault="00DD72FA" w:rsidP="00F06FA4">
      <w:pPr>
        <w:shd w:val="clear" w:color="auto" w:fill="FFFFFF"/>
        <w:spacing w:after="0" w:line="240" w:lineRule="auto"/>
        <w:rPr>
          <w:rFonts w:ascii="Ravensbourne Sans" w:eastAsia="Times New Roman" w:hAnsi="Ravensbourne Sans" w:cs="Arial"/>
          <w:b/>
          <w:color w:val="000000" w:themeColor="text1"/>
          <w:sz w:val="24"/>
          <w:szCs w:val="24"/>
          <w:lang w:eastAsia="en-GB"/>
        </w:rPr>
      </w:pPr>
    </w:p>
    <w:p w14:paraId="1BC7C68C" w14:textId="25971C85" w:rsidR="00F06FA4" w:rsidRDefault="00F94659" w:rsidP="00F06FA4">
      <w:pPr>
        <w:shd w:val="clear" w:color="auto" w:fill="FFFFFF"/>
        <w:spacing w:after="0" w:line="240" w:lineRule="auto"/>
        <w:rPr>
          <w:rFonts w:ascii="Ravensbourne Sans" w:eastAsia="Times New Roman" w:hAnsi="Ravensbourne Sans" w:cs="Arial"/>
          <w:color w:val="000000" w:themeColor="text1"/>
          <w:sz w:val="24"/>
          <w:szCs w:val="24"/>
          <w:lang w:eastAsia="en-GB"/>
        </w:rPr>
      </w:pPr>
      <w:r w:rsidRPr="00115346">
        <w:rPr>
          <w:rFonts w:ascii="Ravensbourne Sans" w:eastAsia="Times New Roman" w:hAnsi="Ravensbourne Sans" w:cs="Arial"/>
          <w:b/>
          <w:color w:val="000000" w:themeColor="text1"/>
          <w:sz w:val="24"/>
          <w:szCs w:val="24"/>
          <w:lang w:eastAsia="en-GB"/>
        </w:rPr>
        <w:t>Key Point</w:t>
      </w:r>
      <w:r>
        <w:rPr>
          <w:rFonts w:ascii="Ravensbourne Sans" w:eastAsia="Times New Roman" w:hAnsi="Ravensbourne Sans" w:cs="Arial"/>
          <w:color w:val="000000" w:themeColor="text1"/>
          <w:sz w:val="24"/>
          <w:szCs w:val="24"/>
          <w:lang w:eastAsia="en-GB"/>
        </w:rPr>
        <w:t xml:space="preserve">: </w:t>
      </w:r>
    </w:p>
    <w:p w14:paraId="28E58BA7" w14:textId="60C89CFA" w:rsidR="00F94659" w:rsidRDefault="00AF04F7" w:rsidP="00F06FA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Ravensbourne Sans" w:eastAsia="Times New Roman" w:hAnsi="Ravensbourne Sans" w:cs="Arial"/>
          <w:color w:val="000000" w:themeColor="text1"/>
          <w:sz w:val="24"/>
          <w:szCs w:val="24"/>
          <w:lang w:eastAsia="en-GB"/>
        </w:rPr>
      </w:pPr>
      <w:r>
        <w:rPr>
          <w:rFonts w:ascii="Ravensbourne Sans" w:eastAsia="Times New Roman" w:hAnsi="Ravensbourne Sans" w:cs="Arial"/>
          <w:color w:val="000000" w:themeColor="text1"/>
          <w:sz w:val="24"/>
          <w:szCs w:val="24"/>
          <w:lang w:eastAsia="en-GB"/>
        </w:rPr>
        <w:t>In spite of</w:t>
      </w:r>
      <w:r w:rsidR="00F94659" w:rsidRPr="00F06FA4">
        <w:rPr>
          <w:rFonts w:ascii="Ravensbourne Sans" w:eastAsia="Times New Roman" w:hAnsi="Ravensbourne Sans" w:cs="Arial"/>
          <w:color w:val="000000" w:themeColor="text1"/>
          <w:sz w:val="24"/>
          <w:szCs w:val="24"/>
          <w:lang w:eastAsia="en-GB"/>
        </w:rPr>
        <w:t xml:space="preserve"> the static reporting position for 2016/17, there has been incremental improvement in the representation of female staff since 2014/15</w:t>
      </w:r>
    </w:p>
    <w:p w14:paraId="068E5954" w14:textId="7F307B73" w:rsidR="00753C69" w:rsidRDefault="00753C69" w:rsidP="00753C69">
      <w:pPr>
        <w:pStyle w:val="ListParagraph"/>
        <w:shd w:val="clear" w:color="auto" w:fill="FFFFFF"/>
        <w:spacing w:after="0" w:line="20" w:lineRule="atLeast"/>
        <w:ind w:left="284"/>
        <w:rPr>
          <w:rFonts w:ascii="Ravensbourne Sans" w:eastAsia="Times New Roman" w:hAnsi="Ravensbourne Sans" w:cs="Arial"/>
          <w:color w:val="000000" w:themeColor="text1"/>
          <w:sz w:val="24"/>
          <w:szCs w:val="24"/>
          <w:lang w:eastAsia="en-GB"/>
        </w:rPr>
      </w:pPr>
    </w:p>
    <w:p w14:paraId="01FCED3B" w14:textId="77777777" w:rsidR="00753C69" w:rsidRPr="00F06FA4" w:rsidRDefault="00753C69" w:rsidP="00753C69">
      <w:pPr>
        <w:pStyle w:val="ListParagraph"/>
        <w:shd w:val="clear" w:color="auto" w:fill="FFFFFF"/>
        <w:spacing w:after="0" w:line="20" w:lineRule="atLeast"/>
        <w:ind w:left="284"/>
        <w:rPr>
          <w:rFonts w:ascii="Ravensbourne Sans" w:eastAsia="Times New Roman" w:hAnsi="Ravensbourne Sans" w:cs="Arial"/>
          <w:color w:val="000000" w:themeColor="text1"/>
          <w:sz w:val="24"/>
          <w:szCs w:val="24"/>
          <w:lang w:eastAsia="en-GB"/>
        </w:rPr>
      </w:pPr>
    </w:p>
    <w:p w14:paraId="177131F6" w14:textId="59187C65" w:rsidR="00F06FA4" w:rsidRDefault="00F06FA4" w:rsidP="00753C69">
      <w:pPr>
        <w:shd w:val="clear" w:color="auto" w:fill="FFFFFF"/>
        <w:spacing w:after="0" w:line="20" w:lineRule="atLeast"/>
        <w:rPr>
          <w:rFonts w:ascii="Ravensbourne Sans" w:eastAsia="Times New Roman" w:hAnsi="Ravensbourne Sans" w:cs="Arial"/>
          <w:color w:val="000000" w:themeColor="text1"/>
          <w:sz w:val="19"/>
          <w:szCs w:val="19"/>
          <w:lang w:eastAsia="en-GB"/>
        </w:rPr>
      </w:pPr>
    </w:p>
    <w:p w14:paraId="1B690F20" w14:textId="7BDC791E" w:rsidR="00F06FA4" w:rsidRDefault="00F06FA4" w:rsidP="00753C69">
      <w:pPr>
        <w:shd w:val="clear" w:color="auto" w:fill="FFFFFF"/>
        <w:spacing w:after="0" w:line="20" w:lineRule="atLeast"/>
        <w:rPr>
          <w:rFonts w:ascii="Ravensbourne Sans" w:eastAsia="Times New Roman" w:hAnsi="Ravensbourne Sans" w:cs="Arial"/>
          <w:color w:val="000000" w:themeColor="text1"/>
          <w:sz w:val="19"/>
          <w:szCs w:val="19"/>
          <w:lang w:eastAsia="en-GB"/>
        </w:rPr>
      </w:pPr>
    </w:p>
    <w:p w14:paraId="7B7750D0" w14:textId="77777777" w:rsidR="00F677DD" w:rsidRPr="00F06FA4" w:rsidRDefault="00F677DD" w:rsidP="00753C69">
      <w:pPr>
        <w:shd w:val="clear" w:color="auto" w:fill="FFFFFF"/>
        <w:tabs>
          <w:tab w:val="left" w:pos="426"/>
        </w:tabs>
        <w:spacing w:after="0" w:line="20" w:lineRule="atLeast"/>
        <w:rPr>
          <w:rFonts w:ascii="Ravensbourne Sans" w:eastAsia="Times New Roman" w:hAnsi="Ravensbourne Sans" w:cs="Arial"/>
          <w:color w:val="000000" w:themeColor="text1"/>
          <w:sz w:val="19"/>
          <w:szCs w:val="19"/>
          <w:lang w:eastAsia="en-GB"/>
        </w:rPr>
      </w:pPr>
    </w:p>
    <w:p w14:paraId="5D68CF45" w14:textId="4CB645D4" w:rsidR="00F677DD" w:rsidRPr="00F677DD" w:rsidRDefault="00F677DD" w:rsidP="00753C69">
      <w:pPr>
        <w:tabs>
          <w:tab w:val="left" w:pos="426"/>
        </w:tabs>
        <w:spacing w:line="20" w:lineRule="atLeast"/>
        <w:rPr>
          <w:rFonts w:ascii="Ravensbourne Sans" w:hAnsi="Ravensbourne Sans"/>
          <w:b/>
          <w:color w:val="17365D" w:themeColor="text2" w:themeShade="BF"/>
          <w:sz w:val="24"/>
          <w:szCs w:val="24"/>
        </w:rPr>
      </w:pPr>
      <w:r>
        <w:rPr>
          <w:rFonts w:ascii="Ravensbourne Sans" w:hAnsi="Ravensbourne Sans"/>
          <w:b/>
          <w:color w:val="17365D" w:themeColor="text2" w:themeShade="BF"/>
          <w:sz w:val="24"/>
          <w:szCs w:val="24"/>
        </w:rPr>
        <w:tab/>
      </w:r>
      <w:r w:rsidRPr="00F677DD">
        <w:rPr>
          <w:rFonts w:ascii="Ravensbourne Sans" w:hAnsi="Ravensbourne Sans"/>
          <w:b/>
          <w:color w:val="17365D" w:themeColor="text2" w:themeShade="BF"/>
          <w:sz w:val="24"/>
          <w:szCs w:val="24"/>
        </w:rPr>
        <w:t>Chart 2</w:t>
      </w:r>
    </w:p>
    <w:p w14:paraId="66B01BAB" w14:textId="579EC3A2" w:rsidR="004040A6" w:rsidRDefault="006E0075" w:rsidP="00DF1616">
      <w:pPr>
        <w:shd w:val="clear" w:color="auto" w:fill="FFFFFF"/>
        <w:spacing w:after="0" w:line="240" w:lineRule="auto"/>
        <w:ind w:left="426"/>
        <w:rPr>
          <w:rFonts w:ascii="Ravensbourne Sans" w:eastAsia="Times New Roman" w:hAnsi="Ravensbourne Sans" w:cs="Arial"/>
          <w:color w:val="000000" w:themeColor="text1"/>
          <w:sz w:val="19"/>
          <w:szCs w:val="19"/>
          <w:lang w:eastAsia="en-GB"/>
        </w:rPr>
      </w:pPr>
      <w:r>
        <w:rPr>
          <w:noProof/>
          <w:lang w:eastAsia="en-GB"/>
        </w:rPr>
        <w:drawing>
          <wp:inline distT="0" distB="0" distL="0" distR="0" wp14:anchorId="4130729B" wp14:editId="44E333BD">
            <wp:extent cx="3980815" cy="3314700"/>
            <wp:effectExtent l="0" t="0" r="63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A59ADC1" w14:textId="5A1CC298" w:rsidR="00F06FA4" w:rsidRDefault="00F06FA4" w:rsidP="00F06FA4">
      <w:pPr>
        <w:pStyle w:val="NoSpacing"/>
        <w:rPr>
          <w:lang w:eastAsia="en-GB"/>
        </w:rPr>
      </w:pPr>
    </w:p>
    <w:p w14:paraId="0BBD023C" w14:textId="77777777" w:rsidR="00753C69" w:rsidRDefault="00753C69" w:rsidP="00B26B45">
      <w:pPr>
        <w:shd w:val="clear" w:color="auto" w:fill="FFFFFF"/>
        <w:spacing w:after="0" w:line="240" w:lineRule="auto"/>
        <w:rPr>
          <w:rFonts w:ascii="Ravensbourne Sans" w:eastAsia="Times New Roman" w:hAnsi="Ravensbourne Sans" w:cs="Arial"/>
          <w:b/>
          <w:color w:val="000000" w:themeColor="text1"/>
          <w:sz w:val="24"/>
          <w:szCs w:val="24"/>
          <w:lang w:eastAsia="en-GB"/>
        </w:rPr>
      </w:pPr>
    </w:p>
    <w:p w14:paraId="7C7AB5F1" w14:textId="2BC6FBF7" w:rsidR="00B26B45" w:rsidRDefault="00B26B45" w:rsidP="00B26B45">
      <w:pPr>
        <w:shd w:val="clear" w:color="auto" w:fill="FFFFFF"/>
        <w:spacing w:after="0" w:line="240" w:lineRule="auto"/>
        <w:rPr>
          <w:rFonts w:ascii="Ravensbourne Sans" w:eastAsia="Times New Roman" w:hAnsi="Ravensbourne Sans" w:cs="Arial"/>
          <w:color w:val="000000" w:themeColor="text1"/>
          <w:sz w:val="24"/>
          <w:szCs w:val="24"/>
          <w:lang w:eastAsia="en-GB"/>
        </w:rPr>
      </w:pPr>
      <w:r w:rsidRPr="00115346">
        <w:rPr>
          <w:rFonts w:ascii="Ravensbourne Sans" w:eastAsia="Times New Roman" w:hAnsi="Ravensbourne Sans" w:cs="Arial"/>
          <w:b/>
          <w:color w:val="000000" w:themeColor="text1"/>
          <w:sz w:val="24"/>
          <w:szCs w:val="24"/>
          <w:lang w:eastAsia="en-GB"/>
        </w:rPr>
        <w:t>Key Point</w:t>
      </w:r>
      <w:r>
        <w:rPr>
          <w:rFonts w:ascii="Ravensbourne Sans" w:eastAsia="Times New Roman" w:hAnsi="Ravensbourne Sans" w:cs="Arial"/>
          <w:color w:val="000000" w:themeColor="text1"/>
          <w:sz w:val="24"/>
          <w:szCs w:val="24"/>
          <w:lang w:eastAsia="en-GB"/>
        </w:rPr>
        <w:t xml:space="preserve">: </w:t>
      </w:r>
    </w:p>
    <w:p w14:paraId="0AA2CB93" w14:textId="56A48321" w:rsidR="00B26B45" w:rsidRPr="00F06FA4" w:rsidRDefault="00611D77" w:rsidP="00F06FA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Ravensbourne Sans" w:eastAsia="Times New Roman" w:hAnsi="Ravensbourne Sans" w:cs="Arial"/>
          <w:color w:val="000000" w:themeColor="text1"/>
          <w:sz w:val="24"/>
          <w:szCs w:val="24"/>
          <w:lang w:eastAsia="en-GB"/>
        </w:rPr>
      </w:pPr>
      <w:r>
        <w:rPr>
          <w:rFonts w:ascii="Ravensbourne Sans" w:eastAsia="Times New Roman" w:hAnsi="Ravensbourne Sans" w:cs="Arial"/>
          <w:color w:val="000000" w:themeColor="text1"/>
          <w:sz w:val="24"/>
          <w:szCs w:val="24"/>
          <w:lang w:eastAsia="en-GB"/>
        </w:rPr>
        <w:t>The 2%</w:t>
      </w:r>
      <w:r w:rsidR="00486E27">
        <w:rPr>
          <w:rFonts w:ascii="Ravensbourne Sans" w:eastAsia="Times New Roman" w:hAnsi="Ravensbourne Sans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Ravensbourne Sans" w:eastAsia="Times New Roman" w:hAnsi="Ravensbourne Sans" w:cs="Arial"/>
          <w:color w:val="000000" w:themeColor="text1"/>
          <w:sz w:val="24"/>
          <w:szCs w:val="24"/>
          <w:lang w:eastAsia="en-GB"/>
        </w:rPr>
        <w:t>decrease</w:t>
      </w:r>
      <w:r w:rsidR="00B26B45" w:rsidRPr="00F06FA4">
        <w:rPr>
          <w:rFonts w:ascii="Ravensbourne Sans" w:eastAsia="Times New Roman" w:hAnsi="Ravensbourne Sans" w:cs="Arial"/>
          <w:color w:val="000000" w:themeColor="text1"/>
          <w:sz w:val="24"/>
          <w:szCs w:val="24"/>
          <w:lang w:eastAsia="en-GB"/>
        </w:rPr>
        <w:t xml:space="preserve"> in female staff </w:t>
      </w:r>
      <w:r w:rsidR="008577E0">
        <w:rPr>
          <w:rFonts w:ascii="Ravensbourne Sans" w:eastAsia="Times New Roman" w:hAnsi="Ravensbourne Sans" w:cs="Arial"/>
          <w:color w:val="000000" w:themeColor="text1"/>
          <w:sz w:val="24"/>
          <w:szCs w:val="24"/>
          <w:lang w:eastAsia="en-GB"/>
        </w:rPr>
        <w:t>for</w:t>
      </w:r>
      <w:r w:rsidR="00486E27">
        <w:rPr>
          <w:rFonts w:ascii="Ravensbourne Sans" w:eastAsia="Times New Roman" w:hAnsi="Ravensbourne Sans" w:cs="Arial"/>
          <w:color w:val="000000" w:themeColor="text1"/>
          <w:sz w:val="24"/>
          <w:szCs w:val="24"/>
          <w:lang w:eastAsia="en-GB"/>
        </w:rPr>
        <w:t xml:space="preserve"> 2016/17, </w:t>
      </w:r>
      <w:r w:rsidR="00B26B45" w:rsidRPr="00F06FA4">
        <w:rPr>
          <w:rFonts w:ascii="Ravensbourne Sans" w:eastAsia="Times New Roman" w:hAnsi="Ravensbourne Sans" w:cs="Arial"/>
          <w:color w:val="000000" w:themeColor="text1"/>
          <w:sz w:val="24"/>
          <w:szCs w:val="24"/>
          <w:lang w:eastAsia="en-GB"/>
        </w:rPr>
        <w:t xml:space="preserve">the position remains </w:t>
      </w:r>
      <w:r w:rsidR="0026600A">
        <w:rPr>
          <w:rFonts w:ascii="Ravensbourne Sans" w:eastAsia="Times New Roman" w:hAnsi="Ravensbourne Sans" w:cs="Arial"/>
          <w:color w:val="000000" w:themeColor="text1"/>
          <w:sz w:val="24"/>
          <w:szCs w:val="24"/>
          <w:lang w:eastAsia="en-GB"/>
        </w:rPr>
        <w:t>marginally better than 2014/15</w:t>
      </w:r>
      <w:r w:rsidR="00B26B45" w:rsidRPr="00F06FA4">
        <w:rPr>
          <w:rFonts w:ascii="Ravensbourne Sans" w:eastAsia="Times New Roman" w:hAnsi="Ravensbourne Sans" w:cs="Arial"/>
          <w:color w:val="000000" w:themeColor="text1"/>
          <w:sz w:val="24"/>
          <w:szCs w:val="24"/>
          <w:lang w:eastAsia="en-GB"/>
        </w:rPr>
        <w:t xml:space="preserve">  </w:t>
      </w:r>
    </w:p>
    <w:p w14:paraId="63DFB6A7" w14:textId="447BDDB7" w:rsidR="00020377" w:rsidRDefault="00020377" w:rsidP="00D22357">
      <w:pPr>
        <w:shd w:val="clear" w:color="auto" w:fill="FFFFFF"/>
        <w:spacing w:after="0" w:line="240" w:lineRule="auto"/>
        <w:rPr>
          <w:rFonts w:ascii="Ravensbourne Sans" w:eastAsia="Times New Roman" w:hAnsi="Ravensbourne Sans" w:cs="Arial"/>
          <w:color w:val="000000" w:themeColor="text1"/>
          <w:sz w:val="24"/>
          <w:szCs w:val="24"/>
          <w:lang w:eastAsia="en-GB"/>
        </w:rPr>
      </w:pPr>
    </w:p>
    <w:p w14:paraId="0B3B877C" w14:textId="08AEF40E" w:rsidR="00753C69" w:rsidRDefault="00753C69" w:rsidP="00D22357">
      <w:pPr>
        <w:shd w:val="clear" w:color="auto" w:fill="FFFFFF"/>
        <w:spacing w:after="0" w:line="240" w:lineRule="auto"/>
        <w:rPr>
          <w:rFonts w:ascii="Ravensbourne Sans" w:eastAsia="Times New Roman" w:hAnsi="Ravensbourne Sans" w:cs="Arial"/>
          <w:color w:val="000000" w:themeColor="text1"/>
          <w:sz w:val="24"/>
          <w:szCs w:val="24"/>
          <w:lang w:eastAsia="en-GB"/>
        </w:rPr>
        <w:sectPr w:rsidR="00753C69" w:rsidSect="00F677DD">
          <w:pgSz w:w="16838" w:h="11906" w:orient="landscape"/>
          <w:pgMar w:top="1440" w:right="1440" w:bottom="709" w:left="1440" w:header="709" w:footer="709" w:gutter="0"/>
          <w:cols w:num="2" w:space="708"/>
          <w:docGrid w:linePitch="360"/>
        </w:sectPr>
      </w:pPr>
    </w:p>
    <w:p w14:paraId="60E23E87" w14:textId="77777777" w:rsidR="00753C69" w:rsidRDefault="00753C69" w:rsidP="00753C69">
      <w:pPr>
        <w:spacing w:after="0"/>
        <w:rPr>
          <w:rFonts w:ascii="Ravensbourne Sans" w:hAnsi="Ravensbourne Sans"/>
          <w:b/>
          <w:color w:val="17365D" w:themeColor="text2" w:themeShade="BF"/>
          <w:sz w:val="24"/>
          <w:szCs w:val="24"/>
        </w:rPr>
      </w:pPr>
    </w:p>
    <w:p w14:paraId="16E1301C" w14:textId="77777777" w:rsidR="00753C69" w:rsidRDefault="00753C69" w:rsidP="00753C69">
      <w:pPr>
        <w:spacing w:after="0"/>
        <w:rPr>
          <w:rFonts w:ascii="Ravensbourne Sans" w:hAnsi="Ravensbourne Sans"/>
          <w:b/>
          <w:color w:val="17365D" w:themeColor="text2" w:themeShade="BF"/>
          <w:sz w:val="24"/>
          <w:szCs w:val="24"/>
        </w:rPr>
      </w:pPr>
    </w:p>
    <w:p w14:paraId="67073367" w14:textId="63EC79EA" w:rsidR="00753C69" w:rsidRDefault="00753C69" w:rsidP="00753C69">
      <w:pPr>
        <w:spacing w:after="0"/>
        <w:rPr>
          <w:rFonts w:ascii="Ravensbourne Sans" w:hAnsi="Ravensbourne Sans"/>
          <w:b/>
          <w:color w:val="17365D" w:themeColor="text2" w:themeShade="BF"/>
          <w:sz w:val="24"/>
          <w:szCs w:val="24"/>
        </w:rPr>
      </w:pPr>
      <w:r w:rsidRPr="00F677DD">
        <w:rPr>
          <w:rFonts w:ascii="Ravensbourne Sans" w:hAnsi="Ravensbourne Sans"/>
          <w:b/>
          <w:color w:val="17365D" w:themeColor="text2" w:themeShade="BF"/>
          <w:sz w:val="24"/>
          <w:szCs w:val="24"/>
        </w:rPr>
        <w:lastRenderedPageBreak/>
        <w:t xml:space="preserve">Chart </w:t>
      </w:r>
      <w:r>
        <w:rPr>
          <w:rFonts w:ascii="Ravensbourne Sans" w:hAnsi="Ravensbourne Sans"/>
          <w:b/>
          <w:color w:val="17365D" w:themeColor="text2" w:themeShade="BF"/>
          <w:sz w:val="24"/>
          <w:szCs w:val="24"/>
        </w:rPr>
        <w:t>3</w:t>
      </w:r>
    </w:p>
    <w:p w14:paraId="020DFA00" w14:textId="77777777" w:rsidR="00753C69" w:rsidRPr="00753C69" w:rsidRDefault="00753C69" w:rsidP="00753C69">
      <w:pPr>
        <w:spacing w:after="0"/>
        <w:rPr>
          <w:rFonts w:ascii="Ravensbourne Sans" w:hAnsi="Ravensbourne Sans"/>
          <w:b/>
          <w:color w:val="000000" w:themeColor="text1"/>
          <w:sz w:val="24"/>
          <w:szCs w:val="24"/>
          <w:shd w:val="clear" w:color="auto" w:fill="FFFFFF"/>
        </w:rPr>
      </w:pPr>
    </w:p>
    <w:p w14:paraId="7643543D" w14:textId="03204956" w:rsidR="0012653A" w:rsidRDefault="00753C69" w:rsidP="0012653A">
      <w:pPr>
        <w:pStyle w:val="NoSpacing"/>
        <w:rPr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08AA137B" wp14:editId="199F0F17">
            <wp:extent cx="4206875" cy="3259152"/>
            <wp:effectExtent l="0" t="0" r="3175" b="1778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5BA1925" w14:textId="77777777" w:rsidR="00753C69" w:rsidRDefault="00753C69" w:rsidP="0012653A">
      <w:pPr>
        <w:spacing w:after="0"/>
        <w:rPr>
          <w:rFonts w:ascii="Ravensbourne Sans" w:hAnsi="Ravensbourne Sans"/>
          <w:b/>
          <w:color w:val="000000" w:themeColor="text1"/>
          <w:sz w:val="24"/>
          <w:szCs w:val="24"/>
          <w:shd w:val="clear" w:color="auto" w:fill="FFFFFF"/>
        </w:rPr>
      </w:pPr>
    </w:p>
    <w:p w14:paraId="7F7B8235" w14:textId="0E23FD53" w:rsidR="0012653A" w:rsidRDefault="0012653A" w:rsidP="0012653A">
      <w:pPr>
        <w:spacing w:after="0"/>
        <w:rPr>
          <w:rFonts w:ascii="Ravensbourne Sans" w:hAnsi="Ravensbourne Sans"/>
          <w:color w:val="000000" w:themeColor="text1"/>
          <w:sz w:val="24"/>
          <w:szCs w:val="24"/>
          <w:shd w:val="clear" w:color="auto" w:fill="FFFFFF"/>
        </w:rPr>
      </w:pPr>
      <w:r w:rsidRPr="00D86EFC">
        <w:rPr>
          <w:rFonts w:ascii="Ravensbourne Sans" w:hAnsi="Ravensbourne Sans"/>
          <w:b/>
          <w:color w:val="000000" w:themeColor="text1"/>
          <w:sz w:val="24"/>
          <w:szCs w:val="24"/>
          <w:shd w:val="clear" w:color="auto" w:fill="FFFFFF"/>
        </w:rPr>
        <w:t>Key Point</w:t>
      </w:r>
      <w:r>
        <w:rPr>
          <w:rFonts w:ascii="Ravensbourne Sans" w:hAnsi="Ravensbourne Sans"/>
          <w:color w:val="000000" w:themeColor="text1"/>
          <w:sz w:val="24"/>
          <w:szCs w:val="24"/>
          <w:shd w:val="clear" w:color="auto" w:fill="FFFFFF"/>
        </w:rPr>
        <w:t xml:space="preserve">: </w:t>
      </w:r>
    </w:p>
    <w:p w14:paraId="3AD8C34D" w14:textId="5373D25D" w:rsidR="0058123E" w:rsidRDefault="000A77E4" w:rsidP="0012653A">
      <w:pPr>
        <w:pStyle w:val="ListParagraph"/>
        <w:numPr>
          <w:ilvl w:val="0"/>
          <w:numId w:val="12"/>
        </w:numPr>
        <w:spacing w:after="0"/>
        <w:ind w:left="284" w:hanging="283"/>
        <w:rPr>
          <w:rFonts w:ascii="Ravensbourne Sans" w:hAnsi="Ravensbourne Sans"/>
          <w:color w:val="000000" w:themeColor="text1"/>
          <w:sz w:val="24"/>
          <w:szCs w:val="24"/>
          <w:shd w:val="clear" w:color="auto" w:fill="FFFFFF"/>
        </w:rPr>
      </w:pPr>
      <w:r>
        <w:rPr>
          <w:rFonts w:ascii="Ravensbourne Sans" w:hAnsi="Ravensbourne Sans"/>
          <w:color w:val="000000" w:themeColor="text1"/>
          <w:sz w:val="24"/>
          <w:szCs w:val="24"/>
          <w:shd w:val="clear" w:color="auto" w:fill="FFFFFF"/>
        </w:rPr>
        <w:t xml:space="preserve">Despite the 6% decrease </w:t>
      </w:r>
      <w:r w:rsidR="0012653A" w:rsidRPr="009B70C7">
        <w:rPr>
          <w:rFonts w:ascii="Ravensbourne Sans" w:hAnsi="Ravensbourne Sans"/>
          <w:color w:val="000000" w:themeColor="text1"/>
          <w:sz w:val="24"/>
          <w:szCs w:val="24"/>
          <w:shd w:val="clear" w:color="auto" w:fill="FFFFFF"/>
        </w:rPr>
        <w:t xml:space="preserve">in 2016/17 </w:t>
      </w:r>
      <w:r w:rsidR="0012653A">
        <w:rPr>
          <w:rFonts w:ascii="Ravensbourne Sans" w:hAnsi="Ravensbourne Sans"/>
          <w:color w:val="000000" w:themeColor="text1"/>
          <w:sz w:val="24"/>
          <w:szCs w:val="24"/>
          <w:shd w:val="clear" w:color="auto" w:fill="FFFFFF"/>
        </w:rPr>
        <w:t xml:space="preserve">female staff are very well represented at </w:t>
      </w:r>
      <w:r w:rsidR="0012653A" w:rsidRPr="009B70C7">
        <w:rPr>
          <w:rFonts w:ascii="Ravensbourne Sans" w:hAnsi="Ravensbourne Sans"/>
          <w:color w:val="000000" w:themeColor="text1"/>
          <w:sz w:val="24"/>
          <w:szCs w:val="24"/>
          <w:shd w:val="clear" w:color="auto" w:fill="FFFFFF"/>
        </w:rPr>
        <w:t>middle manage</w:t>
      </w:r>
      <w:r w:rsidR="0012653A">
        <w:rPr>
          <w:rFonts w:ascii="Ravensbourne Sans" w:hAnsi="Ravensbourne Sans"/>
          <w:color w:val="000000" w:themeColor="text1"/>
          <w:sz w:val="24"/>
          <w:szCs w:val="24"/>
          <w:shd w:val="clear" w:color="auto" w:fill="FFFFFF"/>
        </w:rPr>
        <w:t>ment level</w:t>
      </w:r>
      <w:r w:rsidR="0012653A" w:rsidRPr="009B70C7">
        <w:rPr>
          <w:rFonts w:ascii="Ravensbourne Sans" w:hAnsi="Ravensbourne Sans"/>
          <w:color w:val="000000" w:themeColor="text1"/>
          <w:sz w:val="24"/>
          <w:szCs w:val="24"/>
          <w:shd w:val="clear" w:color="auto" w:fill="FFFFFF"/>
        </w:rPr>
        <w:t xml:space="preserve"> across </w:t>
      </w:r>
      <w:r w:rsidR="00493761">
        <w:rPr>
          <w:rFonts w:ascii="Ravensbourne Sans" w:hAnsi="Ravensbourne Sans"/>
          <w:color w:val="000000" w:themeColor="text1"/>
          <w:sz w:val="24"/>
          <w:szCs w:val="24"/>
          <w:shd w:val="clear" w:color="auto" w:fill="FFFFFF"/>
        </w:rPr>
        <w:t>the workforce</w:t>
      </w:r>
      <w:r w:rsidR="0012653A">
        <w:rPr>
          <w:rFonts w:ascii="Ravensbourne Sans" w:hAnsi="Ravensbourne Sans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690C4FB" w14:textId="71E4996C" w:rsidR="0012653A" w:rsidRDefault="0012653A" w:rsidP="0012653A">
      <w:pPr>
        <w:spacing w:after="0"/>
        <w:ind w:left="284" w:hanging="283"/>
        <w:rPr>
          <w:rFonts w:ascii="Ravensbourne Sans" w:hAnsi="Ravensbourne Sans"/>
          <w:color w:val="000000" w:themeColor="text1"/>
          <w:sz w:val="24"/>
          <w:szCs w:val="24"/>
          <w:shd w:val="clear" w:color="auto" w:fill="FFFFFF"/>
        </w:rPr>
      </w:pPr>
    </w:p>
    <w:p w14:paraId="69DEA843" w14:textId="0959C36A" w:rsidR="00753C69" w:rsidRDefault="00753C69" w:rsidP="0012653A">
      <w:pPr>
        <w:spacing w:after="0"/>
        <w:ind w:left="284" w:hanging="283"/>
        <w:rPr>
          <w:rFonts w:ascii="Ravensbourne Sans" w:hAnsi="Ravensbourne Sans"/>
          <w:color w:val="000000" w:themeColor="text1"/>
          <w:sz w:val="24"/>
          <w:szCs w:val="24"/>
          <w:shd w:val="clear" w:color="auto" w:fill="FFFFFF"/>
        </w:rPr>
      </w:pPr>
    </w:p>
    <w:p w14:paraId="53AA6F88" w14:textId="035F4BE8" w:rsidR="00753C69" w:rsidRDefault="00753C69" w:rsidP="0012653A">
      <w:pPr>
        <w:spacing w:after="0"/>
        <w:ind w:left="284" w:hanging="283"/>
        <w:rPr>
          <w:rFonts w:ascii="Ravensbourne Sans" w:hAnsi="Ravensbourne Sans"/>
          <w:color w:val="000000" w:themeColor="text1"/>
          <w:sz w:val="24"/>
          <w:szCs w:val="24"/>
          <w:shd w:val="clear" w:color="auto" w:fill="FFFFFF"/>
        </w:rPr>
      </w:pPr>
    </w:p>
    <w:p w14:paraId="79EFBC26" w14:textId="17B618BD" w:rsidR="00753C69" w:rsidRDefault="00753C69" w:rsidP="0012653A">
      <w:pPr>
        <w:spacing w:after="0"/>
        <w:ind w:left="284" w:hanging="283"/>
        <w:rPr>
          <w:rFonts w:ascii="Ravensbourne Sans" w:hAnsi="Ravensbourne Sans"/>
          <w:color w:val="000000" w:themeColor="text1"/>
          <w:sz w:val="24"/>
          <w:szCs w:val="24"/>
          <w:shd w:val="clear" w:color="auto" w:fill="FFFFFF"/>
        </w:rPr>
      </w:pPr>
    </w:p>
    <w:p w14:paraId="3FDFD3CA" w14:textId="637F17D7" w:rsidR="00753C69" w:rsidRDefault="00753C69" w:rsidP="0012653A">
      <w:pPr>
        <w:spacing w:after="0"/>
        <w:ind w:left="284" w:hanging="283"/>
        <w:rPr>
          <w:rFonts w:ascii="Ravensbourne Sans" w:hAnsi="Ravensbourne Sans"/>
          <w:color w:val="000000" w:themeColor="text1"/>
          <w:sz w:val="24"/>
          <w:szCs w:val="24"/>
          <w:shd w:val="clear" w:color="auto" w:fill="FFFFFF"/>
        </w:rPr>
      </w:pPr>
    </w:p>
    <w:p w14:paraId="2A7F7820" w14:textId="43DD52C8" w:rsidR="00753C69" w:rsidRPr="00753C69" w:rsidRDefault="00753C69" w:rsidP="00753C69">
      <w:pPr>
        <w:tabs>
          <w:tab w:val="left" w:pos="426"/>
        </w:tabs>
        <w:spacing w:after="0"/>
        <w:rPr>
          <w:rFonts w:ascii="Ravensbourne Sans" w:hAnsi="Ravensbourne Sans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Ravensbourne Sans" w:hAnsi="Ravensbourne Sans"/>
          <w:b/>
          <w:color w:val="17365D" w:themeColor="text2" w:themeShade="BF"/>
          <w:sz w:val="24"/>
          <w:szCs w:val="24"/>
        </w:rPr>
        <w:lastRenderedPageBreak/>
        <w:tab/>
      </w:r>
      <w:r w:rsidRPr="00F677DD">
        <w:rPr>
          <w:rFonts w:ascii="Ravensbourne Sans" w:hAnsi="Ravensbourne Sans"/>
          <w:b/>
          <w:color w:val="17365D" w:themeColor="text2" w:themeShade="BF"/>
          <w:sz w:val="24"/>
          <w:szCs w:val="24"/>
        </w:rPr>
        <w:t xml:space="preserve">Chart </w:t>
      </w:r>
      <w:r>
        <w:rPr>
          <w:rFonts w:ascii="Ravensbourne Sans" w:hAnsi="Ravensbourne Sans"/>
          <w:b/>
          <w:color w:val="17365D" w:themeColor="text2" w:themeShade="BF"/>
          <w:sz w:val="24"/>
          <w:szCs w:val="24"/>
        </w:rPr>
        <w:t>4</w:t>
      </w:r>
    </w:p>
    <w:p w14:paraId="0DD40D2D" w14:textId="77777777" w:rsidR="00753C69" w:rsidRPr="0012653A" w:rsidRDefault="00753C69" w:rsidP="0012653A">
      <w:pPr>
        <w:spacing w:after="0"/>
        <w:ind w:left="284" w:hanging="283"/>
        <w:rPr>
          <w:rFonts w:ascii="Ravensbourne Sans" w:hAnsi="Ravensbourne Sans"/>
          <w:color w:val="000000" w:themeColor="text1"/>
          <w:sz w:val="24"/>
          <w:szCs w:val="24"/>
          <w:shd w:val="clear" w:color="auto" w:fill="FFFFFF"/>
        </w:rPr>
      </w:pPr>
    </w:p>
    <w:p w14:paraId="4AD35758" w14:textId="62E390C4" w:rsidR="00983D2E" w:rsidRDefault="0012653A" w:rsidP="006B55F8">
      <w:pPr>
        <w:ind w:left="426"/>
        <w:rPr>
          <w:rFonts w:ascii="Ravensbourne Sans" w:hAnsi="Ravensbourne Sans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357AA710" wp14:editId="2005B5AD">
            <wp:extent cx="4225693" cy="3343275"/>
            <wp:effectExtent l="0" t="0" r="3810" b="952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93E17E1" w14:textId="77777777" w:rsidR="0018113C" w:rsidRDefault="0018113C" w:rsidP="0012653A">
      <w:pPr>
        <w:spacing w:after="0"/>
        <w:ind w:left="284" w:hanging="284"/>
        <w:rPr>
          <w:rFonts w:ascii="Ravensbourne Sans" w:hAnsi="Ravensbourne Sans" w:cs="Arial"/>
          <w:color w:val="000000" w:themeColor="text1"/>
          <w:sz w:val="24"/>
          <w:szCs w:val="24"/>
        </w:rPr>
      </w:pPr>
      <w:r w:rsidRPr="00D86EFC">
        <w:rPr>
          <w:rFonts w:ascii="Ravensbourne Sans" w:hAnsi="Ravensbourne Sans" w:cs="Arial"/>
          <w:b/>
          <w:color w:val="000000" w:themeColor="text1"/>
          <w:sz w:val="24"/>
          <w:szCs w:val="24"/>
        </w:rPr>
        <w:t>Key Point</w:t>
      </w:r>
      <w:r>
        <w:rPr>
          <w:rFonts w:ascii="Ravensbourne Sans" w:hAnsi="Ravensbourne Sans" w:cs="Arial"/>
          <w:color w:val="000000" w:themeColor="text1"/>
          <w:sz w:val="24"/>
          <w:szCs w:val="24"/>
        </w:rPr>
        <w:t xml:space="preserve">: </w:t>
      </w:r>
    </w:p>
    <w:p w14:paraId="65243F89" w14:textId="45066D12" w:rsidR="0018113C" w:rsidRDefault="005C22E3" w:rsidP="0012653A">
      <w:pPr>
        <w:pStyle w:val="ListParagraph"/>
        <w:numPr>
          <w:ilvl w:val="0"/>
          <w:numId w:val="12"/>
        </w:numPr>
        <w:spacing w:after="0"/>
        <w:ind w:left="284" w:hanging="284"/>
        <w:rPr>
          <w:rFonts w:ascii="Ravensbourne Sans" w:hAnsi="Ravensbourne Sans" w:cs="Arial"/>
          <w:color w:val="000000" w:themeColor="text1"/>
          <w:sz w:val="24"/>
          <w:szCs w:val="24"/>
        </w:rPr>
      </w:pPr>
      <w:r>
        <w:rPr>
          <w:rFonts w:ascii="Ravensbourne Sans" w:hAnsi="Ravensbourne Sans" w:cs="Arial"/>
          <w:color w:val="000000" w:themeColor="text1"/>
          <w:sz w:val="24"/>
          <w:szCs w:val="24"/>
        </w:rPr>
        <w:t>The gender composition of the Executive Team has fluctuated over the 3-yaer period ending 2016/17</w:t>
      </w:r>
      <w:r w:rsidR="00A44B0A" w:rsidRPr="00D86EFC">
        <w:rPr>
          <w:rFonts w:ascii="Ravensbourne Sans" w:hAnsi="Ravensbourne Sans" w:cs="Arial"/>
          <w:color w:val="000000" w:themeColor="text1"/>
          <w:sz w:val="24"/>
          <w:szCs w:val="24"/>
        </w:rPr>
        <w:t xml:space="preserve"> </w:t>
      </w:r>
    </w:p>
    <w:p w14:paraId="6877EF8B" w14:textId="029BB5BC" w:rsidR="0012653A" w:rsidRDefault="0012653A" w:rsidP="0012653A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2A97B06F" w14:textId="523E4CA4" w:rsidR="0012653A" w:rsidRDefault="0012653A" w:rsidP="0012653A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3B0F225E" w14:textId="0F6C3EBD" w:rsidR="0012653A" w:rsidRDefault="0012653A" w:rsidP="0012653A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46AF8BFC" w14:textId="67522515" w:rsidR="0077748D" w:rsidRDefault="0077748D" w:rsidP="0012653A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55657842" w14:textId="77777777" w:rsidR="0077748D" w:rsidRDefault="0077748D" w:rsidP="0012653A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58F2F5AA" w14:textId="1CC8BE74" w:rsidR="005F7A7A" w:rsidRDefault="00DA6D1C" w:rsidP="005F7A7A">
      <w:pPr>
        <w:rPr>
          <w:rFonts w:ascii="Ravensbourne Sans" w:hAnsi="Ravensbourne Sans" w:cs="Arial"/>
          <w:color w:val="0070C0"/>
          <w:sz w:val="24"/>
          <w:szCs w:val="24"/>
        </w:rPr>
      </w:pPr>
      <w:r w:rsidRPr="00185922">
        <w:rPr>
          <w:rFonts w:ascii="Ravensbourne Sans" w:hAnsi="Ravensbourne Sans" w:cs="Arial"/>
          <w:color w:val="0070C0"/>
          <w:sz w:val="24"/>
          <w:szCs w:val="24"/>
        </w:rPr>
        <w:lastRenderedPageBreak/>
        <w:t>4.2</w:t>
      </w:r>
      <w:r w:rsidR="005F7A7A" w:rsidRPr="00185922">
        <w:rPr>
          <w:rFonts w:ascii="Ravensbourne Sans" w:hAnsi="Ravensbourne Sans" w:cs="Arial"/>
          <w:color w:val="0070C0"/>
          <w:sz w:val="24"/>
          <w:szCs w:val="24"/>
        </w:rPr>
        <w:tab/>
      </w:r>
      <w:r w:rsidR="005F7A7A" w:rsidRPr="00185922">
        <w:rPr>
          <w:rFonts w:ascii="Ravensbourne Sans" w:hAnsi="Ravensbourne Sans" w:cs="Arial"/>
          <w:b/>
          <w:color w:val="0070C0"/>
          <w:sz w:val="24"/>
          <w:szCs w:val="24"/>
        </w:rPr>
        <w:t>BAME Staff</w:t>
      </w:r>
      <w:r w:rsidR="005F7A7A" w:rsidRPr="00185922">
        <w:rPr>
          <w:rFonts w:ascii="Ravensbourne Sans" w:hAnsi="Ravensbourne Sans" w:cs="Arial"/>
          <w:color w:val="0070C0"/>
          <w:sz w:val="24"/>
          <w:szCs w:val="24"/>
        </w:rPr>
        <w:t xml:space="preserve"> </w:t>
      </w:r>
    </w:p>
    <w:p w14:paraId="5C3F36BD" w14:textId="78733472" w:rsidR="00753C69" w:rsidRPr="00185922" w:rsidRDefault="00753C69" w:rsidP="005F7A7A">
      <w:pPr>
        <w:rPr>
          <w:rFonts w:ascii="Ravensbourne Sans" w:hAnsi="Ravensbourne Sans" w:cs="Arial"/>
          <w:color w:val="0070C0"/>
          <w:sz w:val="24"/>
          <w:szCs w:val="24"/>
        </w:rPr>
      </w:pPr>
      <w:r w:rsidRPr="00F677DD">
        <w:rPr>
          <w:rFonts w:ascii="Ravensbourne Sans" w:hAnsi="Ravensbourne Sans"/>
          <w:b/>
          <w:color w:val="17365D" w:themeColor="text2" w:themeShade="BF"/>
          <w:sz w:val="24"/>
          <w:szCs w:val="24"/>
        </w:rPr>
        <w:t xml:space="preserve">Chart </w:t>
      </w:r>
      <w:r>
        <w:rPr>
          <w:rFonts w:ascii="Ravensbourne Sans" w:hAnsi="Ravensbourne Sans"/>
          <w:b/>
          <w:color w:val="17365D" w:themeColor="text2" w:themeShade="BF"/>
          <w:sz w:val="24"/>
          <w:szCs w:val="24"/>
        </w:rPr>
        <w:t>5</w:t>
      </w:r>
    </w:p>
    <w:p w14:paraId="5D4CCFB3" w14:textId="6E68C9C3" w:rsidR="00FC385C" w:rsidRPr="00313D9D" w:rsidRDefault="006E0075" w:rsidP="005F7A7A">
      <w:pPr>
        <w:rPr>
          <w:rFonts w:ascii="Ravensbourne Sans" w:hAnsi="Ravensbourne Sans" w:cs="Arial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5111DAC" wp14:editId="5F7F95CD">
            <wp:extent cx="4219575" cy="2955073"/>
            <wp:effectExtent l="0" t="0" r="9525" b="1714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B17ACAE" w14:textId="77777777" w:rsidR="0012653A" w:rsidRDefault="00707922" w:rsidP="0012653A">
      <w:pPr>
        <w:pStyle w:val="NoSpacing"/>
        <w:rPr>
          <w:rFonts w:ascii="Ravensbourne Sans" w:hAnsi="Ravensbourne Sans" w:cs="Arial"/>
          <w:b/>
          <w:color w:val="000000" w:themeColor="text1"/>
          <w:sz w:val="24"/>
          <w:szCs w:val="24"/>
        </w:rPr>
      </w:pPr>
      <w:r w:rsidRPr="0012653A">
        <w:rPr>
          <w:rFonts w:ascii="Ravensbourne Sans" w:hAnsi="Ravensbourne Sans" w:cs="Arial"/>
          <w:b/>
          <w:color w:val="000000" w:themeColor="text1"/>
          <w:sz w:val="24"/>
          <w:szCs w:val="24"/>
        </w:rPr>
        <w:t xml:space="preserve">Key Point: </w:t>
      </w:r>
    </w:p>
    <w:p w14:paraId="38B2CA6E" w14:textId="12B66D67" w:rsidR="00707922" w:rsidRPr="0012653A" w:rsidRDefault="00707922" w:rsidP="0012653A">
      <w:pPr>
        <w:pStyle w:val="NoSpacing"/>
        <w:numPr>
          <w:ilvl w:val="0"/>
          <w:numId w:val="12"/>
        </w:numPr>
        <w:ind w:left="284" w:hanging="284"/>
        <w:rPr>
          <w:rFonts w:ascii="Ravensbourne Sans" w:hAnsi="Ravensbourne Sans" w:cs="Arial"/>
          <w:b/>
          <w:color w:val="000000" w:themeColor="text1"/>
          <w:sz w:val="24"/>
          <w:szCs w:val="24"/>
        </w:rPr>
      </w:pPr>
      <w:r w:rsidRPr="0012653A">
        <w:rPr>
          <w:rFonts w:ascii="Ravensbourne Sans" w:hAnsi="Ravensbourne Sans"/>
          <w:sz w:val="24"/>
          <w:szCs w:val="24"/>
        </w:rPr>
        <w:t xml:space="preserve">The underlying reason for the significant increase </w:t>
      </w:r>
      <w:r w:rsidR="006B54D0">
        <w:rPr>
          <w:rFonts w:ascii="Ravensbourne Sans" w:hAnsi="Ravensbourne Sans"/>
          <w:sz w:val="24"/>
          <w:szCs w:val="24"/>
        </w:rPr>
        <w:t xml:space="preserve">of BAME staff since 2014/15 </w:t>
      </w:r>
      <w:r w:rsidR="00401ADE">
        <w:rPr>
          <w:rFonts w:ascii="Ravensbourne Sans" w:hAnsi="Ravensbourne Sans"/>
          <w:sz w:val="24"/>
          <w:szCs w:val="24"/>
        </w:rPr>
        <w:t xml:space="preserve">is </w:t>
      </w:r>
      <w:r w:rsidRPr="0012653A">
        <w:rPr>
          <w:rFonts w:ascii="Ravensbourne Sans" w:hAnsi="Ravensbourne Sans"/>
          <w:sz w:val="24"/>
          <w:szCs w:val="24"/>
        </w:rPr>
        <w:t>due to the ap</w:t>
      </w:r>
      <w:r w:rsidR="006B54D0">
        <w:rPr>
          <w:rFonts w:ascii="Ravensbourne Sans" w:hAnsi="Ravensbourne Sans"/>
          <w:sz w:val="24"/>
          <w:szCs w:val="24"/>
        </w:rPr>
        <w:t xml:space="preserve">pointment of greater numbers </w:t>
      </w:r>
      <w:r w:rsidR="00401ADE">
        <w:rPr>
          <w:rFonts w:ascii="Ravensbourne Sans" w:hAnsi="Ravensbourne Sans"/>
          <w:sz w:val="24"/>
          <w:szCs w:val="24"/>
        </w:rPr>
        <w:t xml:space="preserve">to </w:t>
      </w:r>
      <w:r w:rsidR="006B54D0">
        <w:rPr>
          <w:rFonts w:ascii="Ravensbourne Sans" w:hAnsi="Ravensbourne Sans"/>
          <w:sz w:val="24"/>
          <w:szCs w:val="24"/>
        </w:rPr>
        <w:t>Professional Services</w:t>
      </w:r>
    </w:p>
    <w:p w14:paraId="5F5BD4F9" w14:textId="1CE15CD1" w:rsidR="0012653A" w:rsidRDefault="0012653A" w:rsidP="0012653A">
      <w:pPr>
        <w:pStyle w:val="NoSpacing"/>
      </w:pPr>
    </w:p>
    <w:p w14:paraId="0CB279DF" w14:textId="39C7CDDA" w:rsidR="0012653A" w:rsidRDefault="0012653A" w:rsidP="0012653A">
      <w:pPr>
        <w:pStyle w:val="NoSpacing"/>
      </w:pPr>
    </w:p>
    <w:p w14:paraId="4130F9D7" w14:textId="336EBA84" w:rsidR="0012653A" w:rsidRDefault="0012653A" w:rsidP="0012653A">
      <w:pPr>
        <w:pStyle w:val="NoSpacing"/>
      </w:pPr>
    </w:p>
    <w:p w14:paraId="39F61A51" w14:textId="5D97984A" w:rsidR="0012653A" w:rsidRDefault="0012653A" w:rsidP="0012653A">
      <w:pPr>
        <w:pStyle w:val="NoSpacing"/>
      </w:pPr>
    </w:p>
    <w:p w14:paraId="1BBA2CEC" w14:textId="52A34788" w:rsidR="0012653A" w:rsidRDefault="0012653A" w:rsidP="0012653A">
      <w:pPr>
        <w:pStyle w:val="NoSpacing"/>
      </w:pPr>
    </w:p>
    <w:p w14:paraId="5CFC0891" w14:textId="686982E6" w:rsidR="0012653A" w:rsidRDefault="0012653A" w:rsidP="0012653A">
      <w:pPr>
        <w:pStyle w:val="NoSpacing"/>
      </w:pPr>
    </w:p>
    <w:p w14:paraId="32CFB009" w14:textId="1B7C0A8F" w:rsidR="0012653A" w:rsidRDefault="0012653A" w:rsidP="0012653A">
      <w:pPr>
        <w:pStyle w:val="NoSpacing"/>
      </w:pPr>
    </w:p>
    <w:p w14:paraId="00ADD483" w14:textId="70035B9A" w:rsidR="0012653A" w:rsidRDefault="0012653A" w:rsidP="0012653A">
      <w:pPr>
        <w:pStyle w:val="NoSpacing"/>
      </w:pPr>
    </w:p>
    <w:p w14:paraId="4BDE19A2" w14:textId="451D05A3" w:rsidR="0012653A" w:rsidRDefault="0012653A" w:rsidP="0012653A">
      <w:pPr>
        <w:pStyle w:val="NoSpacing"/>
      </w:pPr>
    </w:p>
    <w:p w14:paraId="056E2266" w14:textId="5DDACB16" w:rsidR="006B55F8" w:rsidRDefault="00753C69" w:rsidP="0012653A">
      <w:pPr>
        <w:pStyle w:val="NoSpacing"/>
      </w:pPr>
      <w:r w:rsidRPr="00F677DD">
        <w:rPr>
          <w:rFonts w:ascii="Ravensbourne Sans" w:hAnsi="Ravensbourne Sans"/>
          <w:b/>
          <w:color w:val="17365D" w:themeColor="text2" w:themeShade="BF"/>
          <w:sz w:val="24"/>
          <w:szCs w:val="24"/>
        </w:rPr>
        <w:t xml:space="preserve">Chart </w:t>
      </w:r>
      <w:r>
        <w:rPr>
          <w:rFonts w:ascii="Ravensbourne Sans" w:hAnsi="Ravensbourne Sans"/>
          <w:b/>
          <w:color w:val="17365D" w:themeColor="text2" w:themeShade="BF"/>
          <w:sz w:val="24"/>
          <w:szCs w:val="24"/>
        </w:rPr>
        <w:t>6</w:t>
      </w:r>
    </w:p>
    <w:p w14:paraId="6D41EB05" w14:textId="77777777" w:rsidR="00321FE5" w:rsidRDefault="00321FE5" w:rsidP="0012653A">
      <w:pPr>
        <w:pStyle w:val="NoSpacing"/>
      </w:pPr>
    </w:p>
    <w:p w14:paraId="33B84C5B" w14:textId="21D2D4EC" w:rsidR="00284B9F" w:rsidRPr="00284B9F" w:rsidRDefault="006E0075" w:rsidP="00C46CD0">
      <w:pPr>
        <w:rPr>
          <w:rFonts w:ascii="Ravensbourne Sans" w:hAnsi="Ravensbourne Sans" w:cs="Arial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4EF762D" wp14:editId="7230C657">
            <wp:extent cx="4210050" cy="2954655"/>
            <wp:effectExtent l="0" t="0" r="0" b="1714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0660EDB" w14:textId="7031105F" w:rsidR="00C46CD0" w:rsidRPr="0012653A" w:rsidRDefault="00C46CD0" w:rsidP="0012653A">
      <w:pPr>
        <w:pStyle w:val="NoSpacing"/>
        <w:ind w:left="284" w:hanging="284"/>
        <w:rPr>
          <w:rFonts w:ascii="Ravensbourne Sans" w:hAnsi="Ravensbourne Sans" w:cs="Arial"/>
          <w:b/>
          <w:color w:val="000000" w:themeColor="text1"/>
          <w:sz w:val="24"/>
          <w:szCs w:val="24"/>
        </w:rPr>
      </w:pPr>
      <w:r w:rsidRPr="00C46CD0">
        <w:rPr>
          <w:rFonts w:ascii="Ravensbourne Sans" w:hAnsi="Ravensbourne Sans" w:cs="Arial"/>
          <w:b/>
          <w:color w:val="000000" w:themeColor="text1"/>
          <w:sz w:val="24"/>
          <w:szCs w:val="24"/>
        </w:rPr>
        <w:t>Key Point</w:t>
      </w:r>
      <w:r w:rsidR="00F6708A">
        <w:rPr>
          <w:rFonts w:ascii="Ravensbourne Sans" w:hAnsi="Ravensbourne Sans" w:cs="Arial"/>
          <w:b/>
          <w:color w:val="000000" w:themeColor="text1"/>
          <w:sz w:val="24"/>
          <w:szCs w:val="24"/>
        </w:rPr>
        <w:t>s</w:t>
      </w:r>
      <w:r w:rsidRPr="0012653A">
        <w:rPr>
          <w:rFonts w:ascii="Ravensbourne Sans" w:hAnsi="Ravensbourne Sans" w:cs="Arial"/>
          <w:b/>
          <w:color w:val="000000" w:themeColor="text1"/>
          <w:sz w:val="24"/>
          <w:szCs w:val="24"/>
        </w:rPr>
        <w:t xml:space="preserve">: </w:t>
      </w:r>
    </w:p>
    <w:p w14:paraId="61E1FD26" w14:textId="55CF6425" w:rsidR="0012653A" w:rsidRDefault="00C46CD0" w:rsidP="0012653A">
      <w:pPr>
        <w:pStyle w:val="NoSpacing"/>
        <w:numPr>
          <w:ilvl w:val="0"/>
          <w:numId w:val="12"/>
        </w:numPr>
        <w:ind w:left="284" w:right="104" w:hanging="284"/>
        <w:rPr>
          <w:rFonts w:ascii="Ravensbourne Sans" w:hAnsi="Ravensbourne Sans" w:cs="Arial"/>
          <w:color w:val="000000" w:themeColor="text1"/>
          <w:sz w:val="24"/>
          <w:szCs w:val="24"/>
        </w:rPr>
      </w:pPr>
      <w:r w:rsidRPr="0012653A">
        <w:rPr>
          <w:rFonts w:ascii="Ravensbourne Sans" w:hAnsi="Ravensbourne Sans" w:cs="Arial"/>
          <w:color w:val="000000" w:themeColor="text1"/>
          <w:sz w:val="24"/>
          <w:szCs w:val="24"/>
        </w:rPr>
        <w:t>T</w:t>
      </w:r>
      <w:r w:rsidR="00D7483A" w:rsidRPr="0012653A">
        <w:rPr>
          <w:rFonts w:ascii="Ravensbourne Sans" w:hAnsi="Ravensbourne Sans" w:cs="Arial"/>
          <w:color w:val="000000" w:themeColor="text1"/>
          <w:sz w:val="24"/>
          <w:szCs w:val="24"/>
        </w:rPr>
        <w:t>he Academic staff</w:t>
      </w:r>
      <w:r w:rsidRPr="0012653A">
        <w:rPr>
          <w:rFonts w:ascii="Ravensbourne Sans" w:hAnsi="Ravensbourne Sans" w:cs="Arial"/>
          <w:color w:val="000000" w:themeColor="text1"/>
          <w:sz w:val="24"/>
          <w:szCs w:val="24"/>
        </w:rPr>
        <w:t>ing</w:t>
      </w:r>
      <w:r w:rsidR="00D7483A" w:rsidRPr="0012653A">
        <w:rPr>
          <w:rFonts w:ascii="Ravensbourne Sans" w:hAnsi="Ravensbourne Sans" w:cs="Arial"/>
          <w:color w:val="000000" w:themeColor="text1"/>
          <w:sz w:val="24"/>
          <w:szCs w:val="24"/>
        </w:rPr>
        <w:t xml:space="preserve"> profile</w:t>
      </w:r>
      <w:r w:rsidRPr="0012653A">
        <w:rPr>
          <w:rFonts w:ascii="Ravensbourne Sans" w:hAnsi="Ravensbourne Sans" w:cs="Arial"/>
          <w:color w:val="000000" w:themeColor="text1"/>
          <w:sz w:val="24"/>
          <w:szCs w:val="24"/>
        </w:rPr>
        <w:t xml:space="preserve"> </w:t>
      </w:r>
      <w:r w:rsidR="00321FE5">
        <w:rPr>
          <w:rFonts w:ascii="Ravensbourne Sans" w:hAnsi="Ravensbourne Sans" w:cs="Arial"/>
          <w:color w:val="000000" w:themeColor="text1"/>
          <w:sz w:val="24"/>
          <w:szCs w:val="24"/>
        </w:rPr>
        <w:t xml:space="preserve">for BAME </w:t>
      </w:r>
      <w:r w:rsidRPr="0012653A">
        <w:rPr>
          <w:rFonts w:ascii="Ravensbourne Sans" w:hAnsi="Ravensbourne Sans" w:cs="Arial"/>
          <w:color w:val="000000" w:themeColor="text1"/>
          <w:sz w:val="24"/>
          <w:szCs w:val="24"/>
        </w:rPr>
        <w:t>remains stubbornly low</w:t>
      </w:r>
      <w:r w:rsidR="00321FE5">
        <w:rPr>
          <w:rFonts w:ascii="Ravensbourne Sans" w:hAnsi="Ravensbourne Sans" w:cs="Arial"/>
          <w:color w:val="000000" w:themeColor="text1"/>
          <w:sz w:val="24"/>
          <w:szCs w:val="24"/>
        </w:rPr>
        <w:t>, so h</w:t>
      </w:r>
      <w:r w:rsidRPr="0012653A">
        <w:rPr>
          <w:rFonts w:ascii="Ravensbourne Sans" w:hAnsi="Ravensbourne Sans" w:cs="Arial"/>
          <w:color w:val="000000" w:themeColor="text1"/>
          <w:sz w:val="24"/>
          <w:szCs w:val="24"/>
        </w:rPr>
        <w:t>eadhunting may be a more effective option to broaden academic recruitment</w:t>
      </w:r>
      <w:r w:rsidR="00F6708A" w:rsidRPr="0012653A">
        <w:rPr>
          <w:rFonts w:ascii="Ravensbourne Sans" w:hAnsi="Ravensbourne Sans" w:cs="Arial"/>
          <w:color w:val="000000" w:themeColor="text1"/>
          <w:sz w:val="24"/>
          <w:szCs w:val="24"/>
        </w:rPr>
        <w:t>, particularly for key roles</w:t>
      </w:r>
      <w:r w:rsidRPr="0012653A">
        <w:rPr>
          <w:rFonts w:ascii="Ravensbourne Sans" w:hAnsi="Ravensbourne Sans" w:cs="Arial"/>
          <w:color w:val="000000" w:themeColor="text1"/>
          <w:sz w:val="24"/>
          <w:szCs w:val="24"/>
        </w:rPr>
        <w:t xml:space="preserve"> </w:t>
      </w:r>
    </w:p>
    <w:p w14:paraId="657815EF" w14:textId="3E4ABDF3" w:rsidR="00EA2EB2" w:rsidRDefault="005F7A7A" w:rsidP="0012653A">
      <w:pPr>
        <w:pStyle w:val="NoSpacing"/>
        <w:numPr>
          <w:ilvl w:val="0"/>
          <w:numId w:val="12"/>
        </w:numPr>
        <w:ind w:left="284" w:right="104" w:hanging="284"/>
        <w:rPr>
          <w:rFonts w:ascii="Ravensbourne Sans" w:hAnsi="Ravensbourne Sans" w:cs="Arial"/>
          <w:color w:val="000000" w:themeColor="text1"/>
          <w:sz w:val="24"/>
          <w:szCs w:val="24"/>
        </w:rPr>
      </w:pPr>
      <w:r w:rsidRPr="0012653A">
        <w:rPr>
          <w:rFonts w:ascii="Ravensbourne Sans" w:hAnsi="Ravensbourne Sans" w:cs="Arial"/>
          <w:color w:val="000000" w:themeColor="text1"/>
          <w:sz w:val="24"/>
          <w:szCs w:val="24"/>
        </w:rPr>
        <w:t>The salary data for 201</w:t>
      </w:r>
      <w:r w:rsidR="001158FB" w:rsidRPr="0012653A">
        <w:rPr>
          <w:rFonts w:ascii="Ravensbourne Sans" w:hAnsi="Ravensbourne Sans" w:cs="Arial"/>
          <w:color w:val="000000" w:themeColor="text1"/>
          <w:sz w:val="24"/>
          <w:szCs w:val="24"/>
        </w:rPr>
        <w:t>6</w:t>
      </w:r>
      <w:r w:rsidRPr="0012653A">
        <w:rPr>
          <w:rFonts w:ascii="Ravensbourne Sans" w:hAnsi="Ravensbourne Sans" w:cs="Arial"/>
          <w:color w:val="000000" w:themeColor="text1"/>
          <w:sz w:val="24"/>
          <w:szCs w:val="24"/>
        </w:rPr>
        <w:t>/1</w:t>
      </w:r>
      <w:r w:rsidR="001158FB" w:rsidRPr="0012653A">
        <w:rPr>
          <w:rFonts w:ascii="Ravensbourne Sans" w:hAnsi="Ravensbourne Sans" w:cs="Arial"/>
          <w:color w:val="000000" w:themeColor="text1"/>
          <w:sz w:val="24"/>
          <w:szCs w:val="24"/>
        </w:rPr>
        <w:t>7</w:t>
      </w:r>
      <w:r w:rsidR="007710C9" w:rsidRPr="0012653A">
        <w:rPr>
          <w:rFonts w:ascii="Ravensbourne Sans" w:hAnsi="Ravensbourne Sans" w:cs="Arial"/>
          <w:color w:val="000000" w:themeColor="text1"/>
          <w:sz w:val="24"/>
          <w:szCs w:val="24"/>
        </w:rPr>
        <w:t xml:space="preserve"> indicated</w:t>
      </w:r>
      <w:r w:rsidRPr="0012653A">
        <w:rPr>
          <w:rFonts w:ascii="Ravensbourne Sans" w:hAnsi="Ravensbourne Sans" w:cs="Arial"/>
          <w:color w:val="000000" w:themeColor="text1"/>
          <w:sz w:val="24"/>
          <w:szCs w:val="24"/>
        </w:rPr>
        <w:t xml:space="preserve"> a s</w:t>
      </w:r>
      <w:r w:rsidR="00A40B12" w:rsidRPr="0012653A">
        <w:rPr>
          <w:rFonts w:ascii="Ravensbourne Sans" w:hAnsi="Ravensbourne Sans" w:cs="Arial"/>
          <w:color w:val="000000" w:themeColor="text1"/>
          <w:sz w:val="24"/>
          <w:szCs w:val="24"/>
        </w:rPr>
        <w:t xml:space="preserve">imilar </w:t>
      </w:r>
      <w:r w:rsidRPr="0012653A">
        <w:rPr>
          <w:rFonts w:ascii="Ravensbourne Sans" w:hAnsi="Ravensbourne Sans" w:cs="Arial"/>
          <w:color w:val="000000" w:themeColor="text1"/>
          <w:sz w:val="24"/>
          <w:szCs w:val="24"/>
        </w:rPr>
        <w:t xml:space="preserve">picture </w:t>
      </w:r>
      <w:r w:rsidR="00321FE5">
        <w:rPr>
          <w:rFonts w:ascii="Ravensbourne Sans" w:hAnsi="Ravensbourne Sans" w:cs="Arial"/>
          <w:color w:val="000000" w:themeColor="text1"/>
          <w:sz w:val="24"/>
          <w:szCs w:val="24"/>
        </w:rPr>
        <w:t xml:space="preserve">compared </w:t>
      </w:r>
      <w:r w:rsidRPr="0012653A">
        <w:rPr>
          <w:rFonts w:ascii="Ravensbourne Sans" w:hAnsi="Ravensbourne Sans" w:cs="Arial"/>
          <w:color w:val="000000" w:themeColor="text1"/>
          <w:sz w:val="24"/>
          <w:szCs w:val="24"/>
        </w:rPr>
        <w:t xml:space="preserve">with </w:t>
      </w:r>
      <w:r w:rsidR="00A40B12" w:rsidRPr="0012653A">
        <w:rPr>
          <w:rFonts w:ascii="Ravensbourne Sans" w:hAnsi="Ravensbourne Sans" w:cs="Arial"/>
          <w:color w:val="000000" w:themeColor="text1"/>
          <w:sz w:val="24"/>
          <w:szCs w:val="24"/>
        </w:rPr>
        <w:t>the previous reporting year</w:t>
      </w:r>
      <w:r w:rsidR="00321FE5">
        <w:rPr>
          <w:rFonts w:ascii="Ravensbourne Sans" w:hAnsi="Ravensbourne Sans" w:cs="Arial"/>
          <w:color w:val="000000" w:themeColor="text1"/>
          <w:sz w:val="24"/>
          <w:szCs w:val="24"/>
        </w:rPr>
        <w:t>. T</w:t>
      </w:r>
      <w:r w:rsidRPr="0012653A">
        <w:rPr>
          <w:rFonts w:ascii="Ravensbourne Sans" w:hAnsi="Ravensbourne Sans" w:cs="Arial"/>
          <w:color w:val="000000" w:themeColor="text1"/>
          <w:sz w:val="24"/>
          <w:szCs w:val="24"/>
        </w:rPr>
        <w:t>he majority of job roles occupied by BAME staff remain located in Band C</w:t>
      </w:r>
      <w:r w:rsidR="00A40B12" w:rsidRPr="0012653A">
        <w:rPr>
          <w:rFonts w:ascii="Ravensbourne Sans" w:hAnsi="Ravensbourne Sans" w:cs="Arial"/>
          <w:color w:val="000000" w:themeColor="text1"/>
          <w:sz w:val="24"/>
          <w:szCs w:val="24"/>
        </w:rPr>
        <w:t>.</w:t>
      </w:r>
      <w:r w:rsidR="00EC4E8E" w:rsidRPr="0012653A">
        <w:rPr>
          <w:rFonts w:ascii="Ravensbourne Sans" w:hAnsi="Ravensbourne Sans" w:cs="Arial"/>
          <w:color w:val="000000" w:themeColor="text1"/>
          <w:sz w:val="24"/>
          <w:szCs w:val="24"/>
        </w:rPr>
        <w:t xml:space="preserve"> Typically</w:t>
      </w:r>
      <w:r w:rsidR="00321FE5">
        <w:rPr>
          <w:rFonts w:ascii="Ravensbourne Sans" w:hAnsi="Ravensbourne Sans" w:cs="Arial"/>
          <w:color w:val="000000" w:themeColor="text1"/>
          <w:sz w:val="24"/>
          <w:szCs w:val="24"/>
        </w:rPr>
        <w:t>,</w:t>
      </w:r>
      <w:r w:rsidR="00EC4E8E" w:rsidRPr="0012653A">
        <w:rPr>
          <w:rFonts w:ascii="Ravensbourne Sans" w:hAnsi="Ravensbourne Sans" w:cs="Arial"/>
          <w:color w:val="000000" w:themeColor="text1"/>
          <w:sz w:val="24"/>
          <w:szCs w:val="24"/>
        </w:rPr>
        <w:t xml:space="preserve"> job roles in this band are found in Professional Se</w:t>
      </w:r>
      <w:r w:rsidR="001003BA" w:rsidRPr="0012653A">
        <w:rPr>
          <w:rFonts w:ascii="Ravensbourne Sans" w:hAnsi="Ravensbourne Sans" w:cs="Arial"/>
          <w:color w:val="000000" w:themeColor="text1"/>
          <w:sz w:val="24"/>
          <w:szCs w:val="24"/>
        </w:rPr>
        <w:t>rvices and are at Officer level</w:t>
      </w:r>
      <w:r w:rsidR="00A40B12" w:rsidRPr="0012653A">
        <w:rPr>
          <w:rFonts w:ascii="Ravensbourne Sans" w:hAnsi="Ravensbourne Sans" w:cs="Arial"/>
          <w:color w:val="000000" w:themeColor="text1"/>
          <w:sz w:val="24"/>
          <w:szCs w:val="24"/>
        </w:rPr>
        <w:t xml:space="preserve"> </w:t>
      </w:r>
    </w:p>
    <w:p w14:paraId="4B638578" w14:textId="14CDDD7C" w:rsidR="00EA2EB2" w:rsidRDefault="00753C69" w:rsidP="00EA2EB2">
      <w:pPr>
        <w:pStyle w:val="NoSpacing"/>
        <w:ind w:left="284" w:right="104"/>
        <w:rPr>
          <w:rFonts w:ascii="Ravensbourne Sans" w:hAnsi="Ravensbourne Sans"/>
          <w:b/>
          <w:color w:val="17365D" w:themeColor="text2" w:themeShade="BF"/>
          <w:sz w:val="24"/>
          <w:szCs w:val="24"/>
        </w:rPr>
      </w:pPr>
      <w:r w:rsidRPr="00F677DD">
        <w:rPr>
          <w:rFonts w:ascii="Ravensbourne Sans" w:hAnsi="Ravensbourne Sans"/>
          <w:b/>
          <w:color w:val="17365D" w:themeColor="text2" w:themeShade="BF"/>
          <w:sz w:val="24"/>
          <w:szCs w:val="24"/>
        </w:rPr>
        <w:lastRenderedPageBreak/>
        <w:t xml:space="preserve">Chart </w:t>
      </w:r>
      <w:r>
        <w:rPr>
          <w:rFonts w:ascii="Ravensbourne Sans" w:hAnsi="Ravensbourne Sans"/>
          <w:b/>
          <w:color w:val="17365D" w:themeColor="text2" w:themeShade="BF"/>
          <w:sz w:val="24"/>
          <w:szCs w:val="24"/>
        </w:rPr>
        <w:t>7</w:t>
      </w:r>
    </w:p>
    <w:p w14:paraId="38B6AD9F" w14:textId="77777777" w:rsidR="00753C69" w:rsidRDefault="00753C69" w:rsidP="00EA2EB2">
      <w:pPr>
        <w:pStyle w:val="NoSpacing"/>
        <w:ind w:left="284" w:right="104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5A923B61" w14:textId="0AF8D92F" w:rsidR="00EA2EB2" w:rsidRDefault="00155CB5" w:rsidP="00EA2EB2">
      <w:pPr>
        <w:pStyle w:val="ListParagraph"/>
        <w:ind w:left="0"/>
      </w:pPr>
      <w:r>
        <w:rPr>
          <w:noProof/>
          <w:lang w:eastAsia="en-GB"/>
        </w:rPr>
        <w:drawing>
          <wp:inline distT="0" distB="0" distL="0" distR="0" wp14:anchorId="12233655" wp14:editId="074BA809">
            <wp:extent cx="4293220" cy="3095625"/>
            <wp:effectExtent l="0" t="0" r="1270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34C8461" w14:textId="77777777" w:rsidR="00EA2EB2" w:rsidRDefault="00EA2EB2" w:rsidP="00EA2EB2">
      <w:pPr>
        <w:pStyle w:val="ListParagraph"/>
        <w:ind w:left="0"/>
        <w:rPr>
          <w:rFonts w:ascii="Ravensbourne Sans" w:hAnsi="Ravensbourne Sans" w:cs="Arial"/>
          <w:b/>
          <w:color w:val="000000" w:themeColor="text1"/>
          <w:sz w:val="24"/>
          <w:szCs w:val="24"/>
        </w:rPr>
      </w:pPr>
    </w:p>
    <w:p w14:paraId="721F491C" w14:textId="664C2C4D" w:rsidR="00CB6BBE" w:rsidRDefault="00CB6BBE" w:rsidP="00EA2EB2">
      <w:pPr>
        <w:pStyle w:val="ListParagraph"/>
        <w:ind w:left="0"/>
        <w:rPr>
          <w:rFonts w:ascii="Ravensbourne Sans" w:hAnsi="Ravensbourne Sans" w:cs="Arial"/>
          <w:color w:val="000000" w:themeColor="text1"/>
          <w:sz w:val="24"/>
          <w:szCs w:val="24"/>
        </w:rPr>
      </w:pPr>
      <w:r w:rsidRPr="00C966FD">
        <w:rPr>
          <w:rFonts w:ascii="Ravensbourne Sans" w:hAnsi="Ravensbourne Sans" w:cs="Arial"/>
          <w:b/>
          <w:color w:val="000000" w:themeColor="text1"/>
          <w:sz w:val="24"/>
          <w:szCs w:val="24"/>
        </w:rPr>
        <w:t>Key point</w:t>
      </w:r>
      <w:r>
        <w:rPr>
          <w:rFonts w:ascii="Ravensbourne Sans" w:hAnsi="Ravensbourne Sans" w:cs="Arial"/>
          <w:color w:val="000000" w:themeColor="text1"/>
          <w:sz w:val="24"/>
          <w:szCs w:val="24"/>
        </w:rPr>
        <w:t xml:space="preserve">: </w:t>
      </w:r>
    </w:p>
    <w:p w14:paraId="3C4BB92D" w14:textId="7E88C89E" w:rsidR="00D7483A" w:rsidRDefault="00D7483A" w:rsidP="00EA2EB2">
      <w:pPr>
        <w:pStyle w:val="ListParagraph"/>
        <w:numPr>
          <w:ilvl w:val="0"/>
          <w:numId w:val="12"/>
        </w:numPr>
        <w:ind w:left="284" w:hanging="284"/>
        <w:rPr>
          <w:rFonts w:ascii="Ravensbourne Sans" w:hAnsi="Ravensbourne Sans" w:cs="Arial"/>
          <w:color w:val="000000" w:themeColor="text1"/>
          <w:sz w:val="24"/>
          <w:szCs w:val="24"/>
        </w:rPr>
      </w:pPr>
      <w:r>
        <w:rPr>
          <w:rFonts w:ascii="Ravensbourne Sans" w:hAnsi="Ravensbourne Sans" w:cs="Arial"/>
          <w:color w:val="000000" w:themeColor="text1"/>
          <w:sz w:val="24"/>
          <w:szCs w:val="24"/>
        </w:rPr>
        <w:t>BAME Middle Managers</w:t>
      </w:r>
      <w:r w:rsidR="00CB6BBE">
        <w:rPr>
          <w:rFonts w:ascii="Ravensbourne Sans" w:hAnsi="Ravensbourne Sans" w:cs="Arial"/>
          <w:color w:val="000000" w:themeColor="text1"/>
          <w:sz w:val="24"/>
          <w:szCs w:val="24"/>
        </w:rPr>
        <w:t xml:space="preserve"> accounted for just under a quarter of all such roles over the last 3 years</w:t>
      </w:r>
      <w:r w:rsidR="006B54D0">
        <w:rPr>
          <w:rFonts w:ascii="Ravensbourne Sans" w:hAnsi="Ravensbourne Sans" w:cs="Arial"/>
          <w:color w:val="000000" w:themeColor="text1"/>
          <w:sz w:val="24"/>
          <w:szCs w:val="24"/>
        </w:rPr>
        <w:t xml:space="preserve">, most of whom hold professional </w:t>
      </w:r>
      <w:r w:rsidR="00BA3AD3">
        <w:rPr>
          <w:rFonts w:ascii="Ravensbourne Sans" w:hAnsi="Ravensbourne Sans" w:cs="Arial"/>
          <w:color w:val="000000" w:themeColor="text1"/>
          <w:sz w:val="24"/>
          <w:szCs w:val="24"/>
        </w:rPr>
        <w:t>service</w:t>
      </w:r>
      <w:r w:rsidR="006B54D0">
        <w:rPr>
          <w:rFonts w:ascii="Ravensbourne Sans" w:hAnsi="Ravensbourne Sans" w:cs="Arial"/>
          <w:color w:val="000000" w:themeColor="text1"/>
          <w:sz w:val="24"/>
          <w:szCs w:val="24"/>
        </w:rPr>
        <w:t>s</w:t>
      </w:r>
      <w:r w:rsidR="00BA3AD3">
        <w:rPr>
          <w:rFonts w:ascii="Ravensbourne Sans" w:hAnsi="Ravensbourne Sans" w:cs="Arial"/>
          <w:color w:val="000000" w:themeColor="text1"/>
          <w:sz w:val="24"/>
          <w:szCs w:val="24"/>
        </w:rPr>
        <w:t xml:space="preserve"> roles  </w:t>
      </w:r>
    </w:p>
    <w:p w14:paraId="0CCA93DC" w14:textId="7DDD4382" w:rsidR="00EA2EB2" w:rsidRDefault="00EA2EB2" w:rsidP="00EA2EB2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4C2973E9" w14:textId="4CAF7801" w:rsidR="00EA2EB2" w:rsidRDefault="00EA2EB2" w:rsidP="00EA2EB2">
      <w:pPr>
        <w:pStyle w:val="NoSpacing"/>
      </w:pPr>
    </w:p>
    <w:p w14:paraId="029B9429" w14:textId="0D6924C5" w:rsidR="00EA2EB2" w:rsidRDefault="00EA2EB2" w:rsidP="00EA2EB2">
      <w:pPr>
        <w:pStyle w:val="NoSpacing"/>
      </w:pPr>
    </w:p>
    <w:p w14:paraId="15B45AE8" w14:textId="1D61BA6C" w:rsidR="00EA2EB2" w:rsidRDefault="00EA2EB2" w:rsidP="00EA2EB2">
      <w:pPr>
        <w:pStyle w:val="NoSpacing"/>
      </w:pPr>
    </w:p>
    <w:p w14:paraId="493995E7" w14:textId="33CB7D5B" w:rsidR="00EA2EB2" w:rsidRDefault="00EA2EB2" w:rsidP="00EA2EB2">
      <w:pPr>
        <w:pStyle w:val="NoSpacing"/>
      </w:pPr>
    </w:p>
    <w:p w14:paraId="06D7F387" w14:textId="1E2D0153" w:rsidR="00753C69" w:rsidRDefault="00753C69" w:rsidP="00753C69">
      <w:pPr>
        <w:pStyle w:val="NoSpacing"/>
        <w:tabs>
          <w:tab w:val="left" w:pos="284"/>
        </w:tabs>
        <w:rPr>
          <w:rFonts w:ascii="Ravensbourne Sans" w:hAnsi="Ravensbourne Sans"/>
          <w:b/>
          <w:color w:val="17365D" w:themeColor="text2" w:themeShade="BF"/>
          <w:sz w:val="24"/>
          <w:szCs w:val="24"/>
        </w:rPr>
      </w:pPr>
      <w:r>
        <w:rPr>
          <w:rFonts w:ascii="Ravensbourne Sans" w:hAnsi="Ravensbourne Sans"/>
          <w:b/>
          <w:color w:val="17365D" w:themeColor="text2" w:themeShade="BF"/>
          <w:sz w:val="24"/>
          <w:szCs w:val="24"/>
        </w:rPr>
        <w:lastRenderedPageBreak/>
        <w:tab/>
      </w:r>
      <w:r w:rsidRPr="00F677DD">
        <w:rPr>
          <w:rFonts w:ascii="Ravensbourne Sans" w:hAnsi="Ravensbourne Sans"/>
          <w:b/>
          <w:color w:val="17365D" w:themeColor="text2" w:themeShade="BF"/>
          <w:sz w:val="24"/>
          <w:szCs w:val="24"/>
        </w:rPr>
        <w:t xml:space="preserve">Chart </w:t>
      </w:r>
      <w:r>
        <w:rPr>
          <w:rFonts w:ascii="Ravensbourne Sans" w:hAnsi="Ravensbourne Sans"/>
          <w:b/>
          <w:color w:val="17365D" w:themeColor="text2" w:themeShade="BF"/>
          <w:sz w:val="24"/>
          <w:szCs w:val="24"/>
        </w:rPr>
        <w:t>8</w:t>
      </w:r>
    </w:p>
    <w:p w14:paraId="3F989CE0" w14:textId="77777777" w:rsidR="00753C69" w:rsidRDefault="00753C69" w:rsidP="00753C69">
      <w:pPr>
        <w:pStyle w:val="NoSpacing"/>
        <w:tabs>
          <w:tab w:val="left" w:pos="284"/>
        </w:tabs>
      </w:pPr>
    </w:p>
    <w:p w14:paraId="1E9932C6" w14:textId="0E285654" w:rsidR="00155CB5" w:rsidRDefault="00155CB5" w:rsidP="006B55F8">
      <w:pPr>
        <w:pStyle w:val="NoSpacing"/>
        <w:ind w:left="284"/>
      </w:pPr>
      <w:r>
        <w:rPr>
          <w:noProof/>
          <w:lang w:eastAsia="en-GB"/>
        </w:rPr>
        <w:drawing>
          <wp:inline distT="0" distB="0" distL="0" distR="0" wp14:anchorId="15CFEF16" wp14:editId="71646459">
            <wp:extent cx="4114800" cy="3122295"/>
            <wp:effectExtent l="0" t="0" r="0" b="190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C849F85" w14:textId="74323C04" w:rsidR="00EA2EB2" w:rsidRDefault="00EA2EB2" w:rsidP="00EA2EB2">
      <w:pPr>
        <w:pStyle w:val="NoSpacing"/>
      </w:pPr>
    </w:p>
    <w:p w14:paraId="65A31DB0" w14:textId="77777777" w:rsidR="00DD72FA" w:rsidRDefault="00BA3AD3" w:rsidP="00DD72FA">
      <w:pPr>
        <w:pStyle w:val="ListParagraph"/>
        <w:ind w:left="0"/>
        <w:rPr>
          <w:rFonts w:ascii="Ravensbourne Sans" w:hAnsi="Ravensbourne Sans" w:cs="Arial"/>
          <w:b/>
          <w:color w:val="000000" w:themeColor="text1"/>
          <w:sz w:val="24"/>
          <w:szCs w:val="24"/>
        </w:rPr>
      </w:pPr>
      <w:r w:rsidRPr="00EA2EB2">
        <w:rPr>
          <w:rFonts w:ascii="Ravensbourne Sans" w:hAnsi="Ravensbourne Sans" w:cs="Arial"/>
          <w:b/>
          <w:color w:val="000000" w:themeColor="text1"/>
          <w:sz w:val="24"/>
          <w:szCs w:val="24"/>
        </w:rPr>
        <w:t xml:space="preserve">Key Point: </w:t>
      </w:r>
    </w:p>
    <w:p w14:paraId="28897BE3" w14:textId="6B9753BB" w:rsidR="007B5DE9" w:rsidRDefault="00470417" w:rsidP="00DD72FA">
      <w:pPr>
        <w:pStyle w:val="ListParagraph"/>
        <w:numPr>
          <w:ilvl w:val="0"/>
          <w:numId w:val="12"/>
        </w:numPr>
        <w:ind w:left="284" w:hanging="284"/>
        <w:rPr>
          <w:rFonts w:ascii="Ravensbourne Sans" w:hAnsi="Ravensbourne Sans" w:cs="Arial"/>
          <w:color w:val="000000" w:themeColor="text1"/>
          <w:sz w:val="24"/>
          <w:szCs w:val="24"/>
        </w:rPr>
      </w:pPr>
      <w:r>
        <w:rPr>
          <w:rFonts w:ascii="Ravensbourne Sans" w:hAnsi="Ravensbourne Sans" w:cs="Arial"/>
          <w:color w:val="000000" w:themeColor="text1"/>
          <w:sz w:val="24"/>
          <w:szCs w:val="24"/>
        </w:rPr>
        <w:t xml:space="preserve">The </w:t>
      </w:r>
      <w:r w:rsidR="001B75C0">
        <w:rPr>
          <w:rFonts w:ascii="Ravensbourne Sans" w:hAnsi="Ravensbourne Sans" w:cs="Arial"/>
          <w:color w:val="000000" w:themeColor="text1"/>
          <w:sz w:val="24"/>
          <w:szCs w:val="24"/>
        </w:rPr>
        <w:t xml:space="preserve">reduction in </w:t>
      </w:r>
      <w:r>
        <w:rPr>
          <w:rFonts w:ascii="Ravensbourne Sans" w:hAnsi="Ravensbourne Sans" w:cs="Arial"/>
          <w:color w:val="000000" w:themeColor="text1"/>
          <w:sz w:val="24"/>
          <w:szCs w:val="24"/>
        </w:rPr>
        <w:t xml:space="preserve">BAME staffing last year was </w:t>
      </w:r>
      <w:r w:rsidR="00BA3AD3" w:rsidRPr="00EA2EB2">
        <w:rPr>
          <w:rFonts w:ascii="Ravensbourne Sans" w:hAnsi="Ravensbourne Sans" w:cs="Arial"/>
          <w:color w:val="000000" w:themeColor="text1"/>
          <w:sz w:val="24"/>
          <w:szCs w:val="24"/>
        </w:rPr>
        <w:t>due to the departure of one employee</w:t>
      </w:r>
      <w:r w:rsidR="00783CCD" w:rsidRPr="00EA2EB2">
        <w:rPr>
          <w:rFonts w:ascii="Ravensbourne Sans" w:hAnsi="Ravensbourne Sans" w:cs="Arial"/>
          <w:color w:val="000000" w:themeColor="text1"/>
          <w:sz w:val="24"/>
          <w:szCs w:val="24"/>
        </w:rPr>
        <w:t xml:space="preserve"> </w:t>
      </w:r>
      <w:r w:rsidR="00A85CFE" w:rsidRPr="00EA2EB2">
        <w:rPr>
          <w:rFonts w:ascii="Ravensbourne Sans" w:hAnsi="Ravensbourne Sans" w:cs="Arial"/>
          <w:color w:val="000000" w:themeColor="text1"/>
          <w:sz w:val="24"/>
          <w:szCs w:val="24"/>
        </w:rPr>
        <w:t xml:space="preserve"> </w:t>
      </w:r>
    </w:p>
    <w:p w14:paraId="277428A4" w14:textId="0181AD19" w:rsidR="00753C69" w:rsidRDefault="00753C69" w:rsidP="00753C69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66DA5B84" w14:textId="12B577B4" w:rsidR="00753C69" w:rsidRDefault="00753C69" w:rsidP="00753C69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56BDE46B" w14:textId="574EBEDD" w:rsidR="00753C69" w:rsidRDefault="00753C69" w:rsidP="00753C69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02FCFA9B" w14:textId="00C98FCF" w:rsidR="00753C69" w:rsidRDefault="00753C69" w:rsidP="00753C69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4F9EB9D6" w14:textId="46298F49" w:rsidR="00753C69" w:rsidRPr="00753C69" w:rsidRDefault="00753C69" w:rsidP="00753C69">
      <w:pPr>
        <w:rPr>
          <w:rFonts w:ascii="Ravensbourne Sans" w:hAnsi="Ravensbourne Sans" w:cs="Arial"/>
          <w:color w:val="000000" w:themeColor="text1"/>
          <w:sz w:val="24"/>
          <w:szCs w:val="24"/>
        </w:rPr>
      </w:pPr>
      <w:r w:rsidRPr="00F677DD">
        <w:rPr>
          <w:rFonts w:ascii="Ravensbourne Sans" w:hAnsi="Ravensbourne Sans"/>
          <w:b/>
          <w:color w:val="17365D" w:themeColor="text2" w:themeShade="BF"/>
          <w:sz w:val="24"/>
          <w:szCs w:val="24"/>
        </w:rPr>
        <w:lastRenderedPageBreak/>
        <w:t xml:space="preserve">Chart </w:t>
      </w:r>
      <w:r>
        <w:rPr>
          <w:rFonts w:ascii="Ravensbourne Sans" w:hAnsi="Ravensbourne Sans"/>
          <w:b/>
          <w:color w:val="17365D" w:themeColor="text2" w:themeShade="BF"/>
          <w:sz w:val="24"/>
          <w:szCs w:val="24"/>
        </w:rPr>
        <w:t>9</w:t>
      </w:r>
    </w:p>
    <w:p w14:paraId="2A1FCC45" w14:textId="77777777" w:rsidR="007B5DE9" w:rsidRDefault="007B5DE9">
      <w:pPr>
        <w:rPr>
          <w:rFonts w:ascii="Ravensbourne Sans" w:hAnsi="Ravensbourne Sans" w:cs="Arial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62AA49D" wp14:editId="59742C4E">
            <wp:extent cx="4295775" cy="32480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C591EE2" w14:textId="5777D0F5" w:rsidR="007B5DE9" w:rsidRDefault="003F0323">
      <w:pPr>
        <w:rPr>
          <w:rFonts w:ascii="Ravensbourne Sans" w:hAnsi="Ravensbourne Sans" w:cs="Arial"/>
          <w:color w:val="000000" w:themeColor="text1"/>
          <w:sz w:val="24"/>
          <w:szCs w:val="24"/>
        </w:rPr>
      </w:pPr>
      <w:r>
        <w:rPr>
          <w:rFonts w:ascii="Ravensbourne Sans" w:hAnsi="Ravensbourne Sans" w:cs="Arial"/>
          <w:b/>
          <w:color w:val="000000" w:themeColor="text1"/>
          <w:sz w:val="24"/>
          <w:szCs w:val="24"/>
        </w:rPr>
        <w:t xml:space="preserve">Key point: </w:t>
      </w:r>
    </w:p>
    <w:p w14:paraId="2A9824AA" w14:textId="23FC93F3" w:rsidR="003F0323" w:rsidRPr="003F0323" w:rsidRDefault="003F0323">
      <w:pPr>
        <w:rPr>
          <w:rFonts w:ascii="Ravensbourne Sans" w:hAnsi="Ravensbourne Sans" w:cs="Arial"/>
          <w:color w:val="000000" w:themeColor="text1"/>
          <w:sz w:val="24"/>
          <w:szCs w:val="24"/>
        </w:rPr>
      </w:pPr>
      <w:r>
        <w:rPr>
          <w:rFonts w:ascii="Ravensbourne Sans" w:hAnsi="Ravensbourne Sans" w:cs="Arial"/>
          <w:color w:val="000000" w:themeColor="text1"/>
          <w:sz w:val="24"/>
          <w:szCs w:val="24"/>
        </w:rPr>
        <w:t>A greater number of female BAME staff have been employed over the last 2 years than males</w:t>
      </w:r>
    </w:p>
    <w:p w14:paraId="429F07B9" w14:textId="77777777" w:rsidR="007B5DE9" w:rsidRDefault="007B5DE9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6AB3D103" w14:textId="77777777" w:rsidR="007B5DE9" w:rsidRDefault="007B5DE9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57132A5C" w14:textId="77777777" w:rsidR="007B5DE9" w:rsidRDefault="007B5DE9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5CEA2091" w14:textId="2F367095" w:rsidR="00753C69" w:rsidRDefault="00753C69">
      <w:pPr>
        <w:rPr>
          <w:rFonts w:ascii="Ravensbourne Sans" w:hAnsi="Ravensbourne Sans" w:cs="Arial"/>
          <w:color w:val="000000" w:themeColor="text1"/>
          <w:sz w:val="24"/>
          <w:szCs w:val="24"/>
        </w:rPr>
      </w:pPr>
      <w:r w:rsidRPr="00F677DD">
        <w:rPr>
          <w:rFonts w:ascii="Ravensbourne Sans" w:hAnsi="Ravensbourne Sans"/>
          <w:b/>
          <w:color w:val="17365D" w:themeColor="text2" w:themeShade="BF"/>
          <w:sz w:val="24"/>
          <w:szCs w:val="24"/>
        </w:rPr>
        <w:lastRenderedPageBreak/>
        <w:t xml:space="preserve">Chart </w:t>
      </w:r>
      <w:r>
        <w:rPr>
          <w:rFonts w:ascii="Ravensbourne Sans" w:hAnsi="Ravensbourne Sans"/>
          <w:b/>
          <w:color w:val="17365D" w:themeColor="text2" w:themeShade="BF"/>
          <w:sz w:val="24"/>
          <w:szCs w:val="24"/>
        </w:rPr>
        <w:t>10</w:t>
      </w:r>
    </w:p>
    <w:p w14:paraId="34FCB0C0" w14:textId="77777777" w:rsidR="007B5DE9" w:rsidRDefault="007B5DE9">
      <w:pPr>
        <w:rPr>
          <w:rFonts w:ascii="Ravensbourne Sans" w:hAnsi="Ravensbourne Sans" w:cs="Arial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CEB7CA5" wp14:editId="24CC1D90">
            <wp:extent cx="4371975" cy="324802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D3B104E" w14:textId="460923E9" w:rsidR="007B5DE9" w:rsidRDefault="003F0323">
      <w:pPr>
        <w:rPr>
          <w:rFonts w:ascii="Ravensbourne Sans" w:hAnsi="Ravensbourne Sans" w:cs="Arial"/>
          <w:color w:val="000000" w:themeColor="text1"/>
          <w:sz w:val="24"/>
          <w:szCs w:val="24"/>
        </w:rPr>
      </w:pPr>
      <w:r>
        <w:rPr>
          <w:rFonts w:ascii="Ravensbourne Sans" w:hAnsi="Ravensbourne Sans" w:cs="Arial"/>
          <w:b/>
          <w:color w:val="000000" w:themeColor="text1"/>
          <w:sz w:val="24"/>
          <w:szCs w:val="24"/>
        </w:rPr>
        <w:t>Key point:</w:t>
      </w:r>
    </w:p>
    <w:p w14:paraId="67B38ED0" w14:textId="56DAA48B" w:rsidR="003F0323" w:rsidRPr="003F0323" w:rsidRDefault="003F0323">
      <w:pPr>
        <w:rPr>
          <w:rFonts w:ascii="Ravensbourne Sans" w:hAnsi="Ravensbourne Sans" w:cs="Arial"/>
          <w:color w:val="000000" w:themeColor="text1"/>
          <w:sz w:val="24"/>
          <w:szCs w:val="24"/>
        </w:rPr>
      </w:pPr>
      <w:r>
        <w:rPr>
          <w:rFonts w:ascii="Ravensbourne Sans" w:hAnsi="Ravensbourne Sans" w:cs="Arial"/>
          <w:color w:val="000000" w:themeColor="text1"/>
          <w:sz w:val="24"/>
          <w:szCs w:val="24"/>
        </w:rPr>
        <w:t xml:space="preserve">A small percentage of BAME staff have a declared disability </w:t>
      </w:r>
    </w:p>
    <w:p w14:paraId="3C0399A5" w14:textId="77777777" w:rsidR="007B5DE9" w:rsidRDefault="007B5DE9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1250AE8D" w14:textId="77777777" w:rsidR="007B5DE9" w:rsidRDefault="007B5DE9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06E726E1" w14:textId="77777777" w:rsidR="007B5DE9" w:rsidRDefault="007B5DE9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6BC912A7" w14:textId="77777777" w:rsidR="007B5DE9" w:rsidRDefault="007B5DE9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7F016C84" w14:textId="77777777" w:rsidR="007B5DE9" w:rsidRDefault="007B5DE9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1AD22200" w14:textId="2DF319CB" w:rsidR="007B5DE9" w:rsidRDefault="00753C69">
      <w:pPr>
        <w:rPr>
          <w:rFonts w:ascii="Ravensbourne Sans" w:hAnsi="Ravensbourne Sans" w:cs="Arial"/>
          <w:color w:val="000000" w:themeColor="text1"/>
          <w:sz w:val="24"/>
          <w:szCs w:val="24"/>
        </w:rPr>
      </w:pPr>
      <w:r w:rsidRPr="00F677DD">
        <w:rPr>
          <w:rFonts w:ascii="Ravensbourne Sans" w:hAnsi="Ravensbourne Sans"/>
          <w:b/>
          <w:color w:val="17365D" w:themeColor="text2" w:themeShade="BF"/>
          <w:sz w:val="24"/>
          <w:szCs w:val="24"/>
        </w:rPr>
        <w:t xml:space="preserve">Chart </w:t>
      </w:r>
      <w:r>
        <w:rPr>
          <w:rFonts w:ascii="Ravensbourne Sans" w:hAnsi="Ravensbourne Sans"/>
          <w:b/>
          <w:color w:val="17365D" w:themeColor="text2" w:themeShade="BF"/>
          <w:sz w:val="24"/>
          <w:szCs w:val="24"/>
        </w:rPr>
        <w:t>11</w:t>
      </w:r>
    </w:p>
    <w:p w14:paraId="7303139E" w14:textId="2AB019B7" w:rsidR="00A6255B" w:rsidRDefault="00A6255B">
      <w:pPr>
        <w:rPr>
          <w:rFonts w:ascii="Ravensbourne Sans" w:hAnsi="Ravensbourne Sans" w:cs="Arial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0D751E8" wp14:editId="60D95D6B">
            <wp:extent cx="4206875" cy="3467100"/>
            <wp:effectExtent l="0" t="0" r="317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AF929B4" w14:textId="00478E06" w:rsidR="004C7C5A" w:rsidRDefault="004C7C5A">
      <w:pPr>
        <w:rPr>
          <w:rFonts w:ascii="Ravensbourne Sans" w:hAnsi="Ravensbourne Sans" w:cs="Arial"/>
          <w:b/>
          <w:color w:val="000000" w:themeColor="text1"/>
          <w:sz w:val="24"/>
          <w:szCs w:val="24"/>
        </w:rPr>
      </w:pPr>
      <w:r>
        <w:rPr>
          <w:rFonts w:ascii="Ravensbourne Sans" w:hAnsi="Ravensbourne Sans" w:cs="Arial"/>
          <w:b/>
          <w:color w:val="000000" w:themeColor="text1"/>
          <w:sz w:val="24"/>
          <w:szCs w:val="24"/>
        </w:rPr>
        <w:t>Key point:</w:t>
      </w:r>
    </w:p>
    <w:p w14:paraId="43FAFD8F" w14:textId="134D9643" w:rsidR="004C7C5A" w:rsidRPr="004C7C5A" w:rsidRDefault="004C7C5A" w:rsidP="00657A93">
      <w:pPr>
        <w:pStyle w:val="ListParagraph"/>
        <w:numPr>
          <w:ilvl w:val="0"/>
          <w:numId w:val="12"/>
        </w:numPr>
        <w:rPr>
          <w:rFonts w:ascii="Ravensbourne Sans" w:hAnsi="Ravensbourne Sans" w:cs="Arial"/>
          <w:color w:val="000000" w:themeColor="text1"/>
          <w:sz w:val="24"/>
          <w:szCs w:val="24"/>
        </w:rPr>
      </w:pPr>
      <w:r w:rsidRPr="004C7C5A">
        <w:rPr>
          <w:rFonts w:ascii="Ravensbourne Sans" w:hAnsi="Ravensbourne Sans" w:cs="Arial"/>
          <w:color w:val="000000" w:themeColor="text1"/>
          <w:sz w:val="24"/>
          <w:szCs w:val="24"/>
        </w:rPr>
        <w:t xml:space="preserve">Officer level roles are located in Band C and this accounts for the majority of BAME staff </w:t>
      </w:r>
    </w:p>
    <w:p w14:paraId="32FEE656" w14:textId="2C979645" w:rsidR="000A37C5" w:rsidRDefault="000A37C5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4E6CA730" w14:textId="716045BC" w:rsidR="000A37C5" w:rsidRDefault="000A37C5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15604166" w14:textId="7EF9CA52" w:rsidR="000A37C5" w:rsidRDefault="000A37C5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4FD39D14" w14:textId="11A7691D" w:rsidR="000A37C5" w:rsidRDefault="000A37C5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30866B51" w14:textId="7A475B86" w:rsidR="000A37C5" w:rsidRDefault="000A37C5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7E006C2E" w14:textId="2BEEE721" w:rsidR="007B5DE9" w:rsidRPr="004C7C5A" w:rsidRDefault="007B5DE9">
      <w:pPr>
        <w:rPr>
          <w:rFonts w:ascii="Ravensbourne Sans" w:hAnsi="Ravensbourne Sans" w:cs="Arial"/>
          <w:color w:val="000000" w:themeColor="text1"/>
          <w:sz w:val="24"/>
          <w:szCs w:val="24"/>
        </w:rPr>
      </w:pPr>
      <w:r w:rsidRPr="004C7C5A">
        <w:rPr>
          <w:rFonts w:ascii="Ravensbourne Sans" w:hAnsi="Ravensbourne Sans" w:cs="Arial"/>
          <w:color w:val="000000" w:themeColor="text1"/>
          <w:sz w:val="24"/>
          <w:szCs w:val="24"/>
        </w:rPr>
        <w:br w:type="page"/>
      </w:r>
    </w:p>
    <w:p w14:paraId="2658BA7E" w14:textId="0F664BFF" w:rsidR="00D22357" w:rsidRDefault="00AE16A6" w:rsidP="005F7A7A">
      <w:pPr>
        <w:rPr>
          <w:rFonts w:ascii="Ravensbourne Sans" w:hAnsi="Ravensbourne Sans" w:cs="Arial"/>
          <w:color w:val="0070C0"/>
          <w:sz w:val="24"/>
          <w:szCs w:val="24"/>
        </w:rPr>
      </w:pPr>
      <w:r w:rsidRPr="00F23F7E">
        <w:rPr>
          <w:rFonts w:ascii="Ravensbourne Sans" w:hAnsi="Ravensbourne Sans" w:cs="Arial"/>
          <w:color w:val="0070C0"/>
          <w:sz w:val="24"/>
          <w:szCs w:val="24"/>
        </w:rPr>
        <w:lastRenderedPageBreak/>
        <w:t>4.3</w:t>
      </w:r>
      <w:r w:rsidR="005F7A7A" w:rsidRPr="00F23F7E">
        <w:rPr>
          <w:rFonts w:ascii="Ravensbourne Sans" w:hAnsi="Ravensbourne Sans" w:cs="Arial"/>
          <w:color w:val="0070C0"/>
          <w:sz w:val="24"/>
          <w:szCs w:val="24"/>
        </w:rPr>
        <w:tab/>
      </w:r>
      <w:r w:rsidR="005F7A7A" w:rsidRPr="00F23F7E">
        <w:rPr>
          <w:rFonts w:ascii="Ravensbourne Sans" w:hAnsi="Ravensbourne Sans" w:cs="Arial"/>
          <w:b/>
          <w:color w:val="0070C0"/>
          <w:sz w:val="24"/>
          <w:szCs w:val="24"/>
        </w:rPr>
        <w:t>Disability</w:t>
      </w:r>
      <w:r w:rsidR="005F7A7A" w:rsidRPr="00F23F7E">
        <w:rPr>
          <w:rFonts w:ascii="Ravensbourne Sans" w:hAnsi="Ravensbourne Sans" w:cs="Arial"/>
          <w:color w:val="0070C0"/>
          <w:sz w:val="24"/>
          <w:szCs w:val="24"/>
        </w:rPr>
        <w:t xml:space="preserve"> </w:t>
      </w:r>
    </w:p>
    <w:p w14:paraId="627E1E52" w14:textId="3BA92E08" w:rsidR="00753C69" w:rsidRPr="00F23F7E" w:rsidRDefault="00753C69" w:rsidP="005F7A7A">
      <w:pPr>
        <w:rPr>
          <w:rFonts w:ascii="Ravensbourne Sans" w:hAnsi="Ravensbourne Sans" w:cs="Arial"/>
          <w:color w:val="0070C0"/>
          <w:sz w:val="24"/>
          <w:szCs w:val="24"/>
        </w:rPr>
      </w:pPr>
      <w:r w:rsidRPr="00F677DD">
        <w:rPr>
          <w:rFonts w:ascii="Ravensbourne Sans" w:hAnsi="Ravensbourne Sans"/>
          <w:b/>
          <w:color w:val="17365D" w:themeColor="text2" w:themeShade="BF"/>
          <w:sz w:val="24"/>
          <w:szCs w:val="24"/>
        </w:rPr>
        <w:t xml:space="preserve">Chart </w:t>
      </w:r>
      <w:r>
        <w:rPr>
          <w:rFonts w:ascii="Ravensbourne Sans" w:hAnsi="Ravensbourne Sans"/>
          <w:b/>
          <w:color w:val="17365D" w:themeColor="text2" w:themeShade="BF"/>
          <w:sz w:val="24"/>
          <w:szCs w:val="24"/>
        </w:rPr>
        <w:t>12</w:t>
      </w:r>
    </w:p>
    <w:p w14:paraId="34F74512" w14:textId="187DAE66" w:rsidR="00D22357" w:rsidRPr="00CD7896" w:rsidRDefault="006E0075" w:rsidP="005F7A7A">
      <w:pPr>
        <w:rPr>
          <w:rFonts w:ascii="Ravensbourne Sans" w:hAnsi="Ravensbourne Sans" w:cs="Arial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AFCF186" wp14:editId="52C4D8BB">
            <wp:extent cx="4248150" cy="287655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2875D18" w14:textId="77777777" w:rsidR="00380ACC" w:rsidRPr="00EA2EB2" w:rsidRDefault="00380ACC" w:rsidP="00EA2EB2">
      <w:pPr>
        <w:pStyle w:val="ListParagraph"/>
        <w:ind w:left="0"/>
        <w:rPr>
          <w:rFonts w:ascii="Ravensbourne Sans" w:hAnsi="Ravensbourne Sans" w:cs="Arial"/>
          <w:b/>
          <w:color w:val="000000" w:themeColor="text1"/>
          <w:sz w:val="24"/>
          <w:szCs w:val="24"/>
        </w:rPr>
      </w:pPr>
      <w:r w:rsidRPr="00EA2EB2">
        <w:rPr>
          <w:rFonts w:ascii="Ravensbourne Sans" w:hAnsi="Ravensbourne Sans" w:cs="Arial"/>
          <w:b/>
          <w:color w:val="000000" w:themeColor="text1"/>
          <w:sz w:val="24"/>
          <w:szCs w:val="24"/>
        </w:rPr>
        <w:t>Key point:</w:t>
      </w:r>
    </w:p>
    <w:p w14:paraId="6D85DAEE" w14:textId="4020259F" w:rsidR="00D22357" w:rsidRPr="00EA2EB2" w:rsidRDefault="004629D9" w:rsidP="00EA2EB2">
      <w:pPr>
        <w:pStyle w:val="ListParagraph"/>
        <w:numPr>
          <w:ilvl w:val="0"/>
          <w:numId w:val="12"/>
        </w:numPr>
        <w:ind w:left="284" w:hanging="284"/>
        <w:rPr>
          <w:rFonts w:ascii="Ravensbourne Sans" w:hAnsi="Ravensbourne Sans" w:cs="Arial"/>
          <w:color w:val="000000" w:themeColor="text1"/>
          <w:sz w:val="24"/>
          <w:szCs w:val="24"/>
        </w:rPr>
      </w:pPr>
      <w:r>
        <w:rPr>
          <w:rFonts w:ascii="Ravensbourne Sans" w:hAnsi="Ravensbourne Sans" w:cs="Arial"/>
          <w:color w:val="000000" w:themeColor="text1"/>
          <w:sz w:val="24"/>
          <w:szCs w:val="24"/>
        </w:rPr>
        <w:t>Whilst t</w:t>
      </w:r>
      <w:r w:rsidR="005F7A7A" w:rsidRPr="00EA2EB2">
        <w:rPr>
          <w:rFonts w:ascii="Ravensbourne Sans" w:hAnsi="Ravensbourne Sans" w:cs="Arial"/>
          <w:color w:val="000000" w:themeColor="text1"/>
          <w:sz w:val="24"/>
          <w:szCs w:val="24"/>
        </w:rPr>
        <w:t>he proportion</w:t>
      </w:r>
      <w:r w:rsidR="005F7A7A" w:rsidRPr="00EA2EB2">
        <w:t xml:space="preserve"> </w:t>
      </w:r>
      <w:r w:rsidR="005F7A7A" w:rsidRPr="00EA2EB2">
        <w:rPr>
          <w:rFonts w:ascii="Ravensbourne Sans" w:hAnsi="Ravensbourne Sans" w:cs="Arial"/>
          <w:color w:val="000000" w:themeColor="text1"/>
          <w:sz w:val="24"/>
          <w:szCs w:val="24"/>
        </w:rPr>
        <w:t xml:space="preserve">of staff with declared disabilities </w:t>
      </w:r>
      <w:r w:rsidR="00380ACC" w:rsidRPr="00EA2EB2">
        <w:rPr>
          <w:rFonts w:ascii="Ravensbourne Sans" w:hAnsi="Ravensbourne Sans" w:cs="Arial"/>
          <w:color w:val="000000" w:themeColor="text1"/>
          <w:sz w:val="24"/>
          <w:szCs w:val="24"/>
        </w:rPr>
        <w:t xml:space="preserve">has </w:t>
      </w:r>
      <w:r w:rsidR="00A85CFE" w:rsidRPr="00EA2EB2">
        <w:rPr>
          <w:rFonts w:ascii="Ravensbourne Sans" w:hAnsi="Ravensbourne Sans" w:cs="Arial"/>
          <w:color w:val="000000" w:themeColor="text1"/>
          <w:sz w:val="24"/>
          <w:szCs w:val="24"/>
        </w:rPr>
        <w:t>remained sta</w:t>
      </w:r>
      <w:r w:rsidR="00380ACC" w:rsidRPr="00EA2EB2">
        <w:rPr>
          <w:rFonts w:ascii="Ravensbourne Sans" w:hAnsi="Ravensbourne Sans" w:cs="Arial"/>
          <w:color w:val="000000" w:themeColor="text1"/>
          <w:sz w:val="24"/>
          <w:szCs w:val="24"/>
        </w:rPr>
        <w:t xml:space="preserve">tic over the last two years, </w:t>
      </w:r>
      <w:r>
        <w:rPr>
          <w:rFonts w:ascii="Ravensbourne Sans" w:hAnsi="Ravensbourne Sans" w:cs="Arial"/>
          <w:color w:val="000000" w:themeColor="text1"/>
          <w:sz w:val="24"/>
          <w:szCs w:val="24"/>
        </w:rPr>
        <w:t xml:space="preserve">previous </w:t>
      </w:r>
      <w:r w:rsidR="00D76751">
        <w:rPr>
          <w:rFonts w:ascii="Ravensbourne Sans" w:hAnsi="Ravensbourne Sans" w:cs="Arial"/>
          <w:color w:val="000000" w:themeColor="text1"/>
          <w:sz w:val="24"/>
          <w:szCs w:val="24"/>
        </w:rPr>
        <w:t>year</w:t>
      </w:r>
      <w:r w:rsidR="00AE1329">
        <w:rPr>
          <w:rFonts w:ascii="Ravensbourne Sans" w:hAnsi="Ravensbourne Sans" w:cs="Arial"/>
          <w:color w:val="000000" w:themeColor="text1"/>
          <w:sz w:val="24"/>
          <w:szCs w:val="24"/>
        </w:rPr>
        <w:t>’</w:t>
      </w:r>
      <w:r w:rsidR="00D76751">
        <w:rPr>
          <w:rFonts w:ascii="Ravensbourne Sans" w:hAnsi="Ravensbourne Sans" w:cs="Arial"/>
          <w:color w:val="000000" w:themeColor="text1"/>
          <w:sz w:val="24"/>
          <w:szCs w:val="24"/>
        </w:rPr>
        <w:t xml:space="preserve">s </w:t>
      </w:r>
      <w:r>
        <w:rPr>
          <w:rFonts w:ascii="Ravensbourne Sans" w:hAnsi="Ravensbourne Sans" w:cs="Arial"/>
          <w:color w:val="000000" w:themeColor="text1"/>
          <w:sz w:val="24"/>
          <w:szCs w:val="24"/>
        </w:rPr>
        <w:t>external benchmarks ha</w:t>
      </w:r>
      <w:r w:rsidR="00D76751">
        <w:rPr>
          <w:rFonts w:ascii="Ravensbourne Sans" w:hAnsi="Ravensbourne Sans" w:cs="Arial"/>
          <w:color w:val="000000" w:themeColor="text1"/>
          <w:sz w:val="24"/>
          <w:szCs w:val="24"/>
        </w:rPr>
        <w:t xml:space="preserve">ve been </w:t>
      </w:r>
      <w:r>
        <w:rPr>
          <w:rFonts w:ascii="Ravensbourne Sans" w:hAnsi="Ravensbourne Sans" w:cs="Arial"/>
          <w:color w:val="000000" w:themeColor="text1"/>
          <w:sz w:val="24"/>
          <w:szCs w:val="24"/>
        </w:rPr>
        <w:t xml:space="preserve">consistently </w:t>
      </w:r>
      <w:r w:rsidR="00380ACC" w:rsidRPr="00EA2EB2">
        <w:rPr>
          <w:rFonts w:ascii="Ravensbourne Sans" w:hAnsi="Ravensbourne Sans" w:cs="Arial"/>
          <w:color w:val="000000" w:themeColor="text1"/>
          <w:sz w:val="24"/>
          <w:szCs w:val="24"/>
        </w:rPr>
        <w:t>exceed</w:t>
      </w:r>
      <w:r>
        <w:rPr>
          <w:rFonts w:ascii="Ravensbourne Sans" w:hAnsi="Ravensbourne Sans" w:cs="Arial"/>
          <w:color w:val="000000" w:themeColor="text1"/>
          <w:sz w:val="24"/>
          <w:szCs w:val="24"/>
        </w:rPr>
        <w:t>ed</w:t>
      </w:r>
    </w:p>
    <w:p w14:paraId="5E3EC859" w14:textId="2FA7FE9B" w:rsidR="00EA2EB2" w:rsidRDefault="00EA2EB2" w:rsidP="00EA2EB2">
      <w:pPr>
        <w:pStyle w:val="NoSpacing"/>
      </w:pPr>
    </w:p>
    <w:p w14:paraId="5ADF532E" w14:textId="1C940C5C" w:rsidR="00EA2EB2" w:rsidRDefault="00EA2EB2" w:rsidP="00EA2EB2">
      <w:pPr>
        <w:pStyle w:val="NoSpacing"/>
      </w:pPr>
    </w:p>
    <w:p w14:paraId="76AAF1D9" w14:textId="110EE34B" w:rsidR="000A37C5" w:rsidRDefault="000A37C5" w:rsidP="00EA2EB2">
      <w:pPr>
        <w:pStyle w:val="NoSpacing"/>
      </w:pPr>
    </w:p>
    <w:p w14:paraId="033268ED" w14:textId="77777777" w:rsidR="000A37C5" w:rsidRDefault="000A37C5" w:rsidP="00EA2EB2">
      <w:pPr>
        <w:pStyle w:val="NoSpacing"/>
      </w:pPr>
    </w:p>
    <w:p w14:paraId="6B1451F4" w14:textId="245DF826" w:rsidR="00EA2EB2" w:rsidRDefault="00EA2EB2" w:rsidP="00EA2EB2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76476BB8" w14:textId="5D9836D9" w:rsidR="000A37C5" w:rsidRDefault="000A37C5" w:rsidP="000A37C5">
      <w:pPr>
        <w:pStyle w:val="NoSpacing"/>
      </w:pPr>
    </w:p>
    <w:p w14:paraId="337D16AC" w14:textId="6CAF5E5E" w:rsidR="00D76751" w:rsidRDefault="00D76751" w:rsidP="000A37C5">
      <w:pPr>
        <w:pStyle w:val="NoSpacing"/>
      </w:pPr>
    </w:p>
    <w:p w14:paraId="1EC41C95" w14:textId="3CCA2AE1" w:rsidR="00D76751" w:rsidRDefault="00753C69" w:rsidP="00753C69">
      <w:pPr>
        <w:pStyle w:val="NoSpacing"/>
        <w:tabs>
          <w:tab w:val="left" w:pos="284"/>
        </w:tabs>
        <w:rPr>
          <w:rFonts w:ascii="Ravensbourne Sans" w:hAnsi="Ravensbourne Sans"/>
          <w:b/>
          <w:color w:val="17365D" w:themeColor="text2" w:themeShade="BF"/>
          <w:sz w:val="24"/>
          <w:szCs w:val="24"/>
        </w:rPr>
      </w:pPr>
      <w:r>
        <w:rPr>
          <w:rFonts w:ascii="Ravensbourne Sans" w:hAnsi="Ravensbourne Sans"/>
          <w:b/>
          <w:color w:val="17365D" w:themeColor="text2" w:themeShade="BF"/>
          <w:sz w:val="24"/>
          <w:szCs w:val="24"/>
        </w:rPr>
        <w:tab/>
      </w:r>
      <w:r w:rsidRPr="00F677DD">
        <w:rPr>
          <w:rFonts w:ascii="Ravensbourne Sans" w:hAnsi="Ravensbourne Sans"/>
          <w:b/>
          <w:color w:val="17365D" w:themeColor="text2" w:themeShade="BF"/>
          <w:sz w:val="24"/>
          <w:szCs w:val="24"/>
        </w:rPr>
        <w:t xml:space="preserve">Chart </w:t>
      </w:r>
      <w:r>
        <w:rPr>
          <w:rFonts w:ascii="Ravensbourne Sans" w:hAnsi="Ravensbourne Sans"/>
          <w:b/>
          <w:color w:val="17365D" w:themeColor="text2" w:themeShade="BF"/>
          <w:sz w:val="24"/>
          <w:szCs w:val="24"/>
        </w:rPr>
        <w:t>13</w:t>
      </w:r>
    </w:p>
    <w:p w14:paraId="5300A6E5" w14:textId="77777777" w:rsidR="00753C69" w:rsidRDefault="00753C69" w:rsidP="000A37C5">
      <w:pPr>
        <w:pStyle w:val="NoSpacing"/>
      </w:pPr>
    </w:p>
    <w:p w14:paraId="432CC297" w14:textId="5181A944" w:rsidR="00D22357" w:rsidRPr="00D22357" w:rsidRDefault="006E0075" w:rsidP="00F23F7E">
      <w:pPr>
        <w:ind w:left="284"/>
        <w:rPr>
          <w:rFonts w:ascii="Ravensbourne Sans" w:hAnsi="Ravensbourne Sans" w:cs="Arial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3EAC389" wp14:editId="3A0B6AB1">
            <wp:extent cx="4171950" cy="287655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61A7EC6" w14:textId="6E62A0B6" w:rsidR="006E0A89" w:rsidRPr="00EA2EB2" w:rsidRDefault="006E0A89" w:rsidP="00EA2EB2">
      <w:pPr>
        <w:pStyle w:val="ListParagraph"/>
        <w:ind w:left="0"/>
        <w:rPr>
          <w:rFonts w:ascii="Ravensbourne Sans" w:hAnsi="Ravensbourne Sans" w:cs="Arial"/>
          <w:b/>
          <w:color w:val="000000" w:themeColor="text1"/>
          <w:sz w:val="24"/>
          <w:szCs w:val="24"/>
        </w:rPr>
      </w:pPr>
      <w:r w:rsidRPr="004723DC">
        <w:rPr>
          <w:rFonts w:ascii="Ravensbourne Sans" w:hAnsi="Ravensbourne Sans" w:cs="Arial"/>
          <w:b/>
          <w:color w:val="000000" w:themeColor="text1"/>
          <w:sz w:val="24"/>
          <w:szCs w:val="24"/>
        </w:rPr>
        <w:t>Key Point</w:t>
      </w:r>
      <w:r w:rsidRPr="00EA2EB2">
        <w:rPr>
          <w:rFonts w:ascii="Ravensbourne Sans" w:hAnsi="Ravensbourne Sans" w:cs="Arial"/>
          <w:b/>
          <w:color w:val="000000" w:themeColor="text1"/>
          <w:sz w:val="24"/>
          <w:szCs w:val="24"/>
        </w:rPr>
        <w:t>:</w:t>
      </w:r>
    </w:p>
    <w:p w14:paraId="7DBACEAF" w14:textId="740F5406" w:rsidR="001E6954" w:rsidRDefault="00F75871" w:rsidP="00EA2EB2">
      <w:pPr>
        <w:pStyle w:val="ListParagraph"/>
        <w:numPr>
          <w:ilvl w:val="0"/>
          <w:numId w:val="12"/>
        </w:numPr>
        <w:ind w:left="284" w:hanging="284"/>
        <w:rPr>
          <w:rFonts w:ascii="Ravensbourne Sans" w:hAnsi="Ravensbourne Sans" w:cs="Arial"/>
          <w:color w:val="000000" w:themeColor="text1"/>
          <w:sz w:val="24"/>
          <w:szCs w:val="24"/>
        </w:rPr>
      </w:pPr>
      <w:r>
        <w:rPr>
          <w:rFonts w:ascii="Ravensbourne Sans" w:hAnsi="Ravensbourne Sans" w:cs="Arial"/>
          <w:color w:val="000000" w:themeColor="text1"/>
          <w:sz w:val="24"/>
          <w:szCs w:val="24"/>
        </w:rPr>
        <w:t xml:space="preserve">Continued use of the </w:t>
      </w:r>
      <w:r w:rsidR="005F7A7A" w:rsidRPr="00EA2EB2">
        <w:rPr>
          <w:rFonts w:ascii="Ravensbourne Sans" w:hAnsi="Ravensbourne Sans" w:cs="Arial"/>
          <w:color w:val="000000" w:themeColor="text1"/>
          <w:sz w:val="24"/>
          <w:szCs w:val="24"/>
        </w:rPr>
        <w:t>confidential disability advice line, run by Disability Rights UK</w:t>
      </w:r>
      <w:r>
        <w:rPr>
          <w:rFonts w:ascii="Ravensbourne Sans" w:hAnsi="Ravensbourne Sans" w:cs="Arial"/>
          <w:color w:val="000000" w:themeColor="text1"/>
          <w:sz w:val="24"/>
          <w:szCs w:val="24"/>
        </w:rPr>
        <w:t>, has encouraged greater number</w:t>
      </w:r>
      <w:r w:rsidR="005F7A7A" w:rsidRPr="00EA2EB2">
        <w:rPr>
          <w:rFonts w:ascii="Ravensbourne Sans" w:hAnsi="Ravensbourne Sans" w:cs="Arial"/>
          <w:color w:val="000000" w:themeColor="text1"/>
          <w:sz w:val="24"/>
          <w:szCs w:val="24"/>
        </w:rPr>
        <w:t xml:space="preserve"> suitably experienced / qualified individuals to apply for roles</w:t>
      </w:r>
      <w:r w:rsidR="00F40570" w:rsidRPr="00EA2EB2">
        <w:rPr>
          <w:rFonts w:ascii="Ravensbourne Sans" w:hAnsi="Ravensbourne Sans" w:cs="Arial"/>
          <w:color w:val="000000" w:themeColor="text1"/>
          <w:sz w:val="24"/>
          <w:szCs w:val="24"/>
        </w:rPr>
        <w:t xml:space="preserve"> </w:t>
      </w:r>
    </w:p>
    <w:p w14:paraId="0B1753D5" w14:textId="47CFE75D" w:rsidR="00753C69" w:rsidRDefault="00753C69" w:rsidP="00753C69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0DEBB3CE" w14:textId="66AC7730" w:rsidR="00753C69" w:rsidRDefault="00753C69" w:rsidP="00753C69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01654B60" w14:textId="77777777" w:rsidR="00753C69" w:rsidRDefault="00753C69" w:rsidP="00753C69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1EE65850" w14:textId="4F4CFDDC" w:rsidR="00753C69" w:rsidRPr="00753C69" w:rsidRDefault="00753C69" w:rsidP="00753C69">
      <w:pPr>
        <w:rPr>
          <w:rFonts w:ascii="Ravensbourne Sans" w:hAnsi="Ravensbourne Sans" w:cs="Arial"/>
          <w:color w:val="000000" w:themeColor="text1"/>
          <w:sz w:val="24"/>
          <w:szCs w:val="24"/>
        </w:rPr>
      </w:pPr>
      <w:r w:rsidRPr="00F677DD">
        <w:rPr>
          <w:rFonts w:ascii="Ravensbourne Sans" w:hAnsi="Ravensbourne Sans"/>
          <w:b/>
          <w:color w:val="17365D" w:themeColor="text2" w:themeShade="BF"/>
          <w:sz w:val="24"/>
          <w:szCs w:val="24"/>
        </w:rPr>
        <w:lastRenderedPageBreak/>
        <w:t xml:space="preserve">Chart </w:t>
      </w:r>
      <w:r>
        <w:rPr>
          <w:rFonts w:ascii="Ravensbourne Sans" w:hAnsi="Ravensbourne Sans"/>
          <w:b/>
          <w:color w:val="17365D" w:themeColor="text2" w:themeShade="BF"/>
          <w:sz w:val="24"/>
          <w:szCs w:val="24"/>
        </w:rPr>
        <w:t>14</w:t>
      </w:r>
    </w:p>
    <w:p w14:paraId="228AA0C8" w14:textId="77777777" w:rsidR="00855400" w:rsidRDefault="00855400" w:rsidP="00EA2EB2">
      <w:pPr>
        <w:spacing w:after="0"/>
        <w:rPr>
          <w:rFonts w:ascii="Ravensbourne Sans" w:hAnsi="Ravensbourne Sans" w:cs="Arial"/>
          <w:b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D7909C2" wp14:editId="7F5D20D7">
            <wp:extent cx="4333875" cy="2943225"/>
            <wp:effectExtent l="0" t="0" r="9525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80753C9" w14:textId="77777777" w:rsidR="00855400" w:rsidRDefault="00855400" w:rsidP="00EA2EB2">
      <w:pPr>
        <w:spacing w:after="0"/>
        <w:rPr>
          <w:rFonts w:ascii="Ravensbourne Sans" w:hAnsi="Ravensbourne Sans" w:cs="Arial"/>
          <w:b/>
          <w:color w:val="000000" w:themeColor="text1"/>
          <w:sz w:val="24"/>
          <w:szCs w:val="24"/>
        </w:rPr>
      </w:pPr>
    </w:p>
    <w:p w14:paraId="677E5C16" w14:textId="48B2A240" w:rsidR="004E5FAA" w:rsidRPr="00EA2EB2" w:rsidRDefault="004E5FAA" w:rsidP="00EA2EB2">
      <w:pPr>
        <w:spacing w:after="0"/>
        <w:rPr>
          <w:rFonts w:ascii="Ravensbourne Sans" w:hAnsi="Ravensbourne Sans" w:cs="Arial"/>
          <w:b/>
          <w:color w:val="000000" w:themeColor="text1"/>
          <w:sz w:val="24"/>
          <w:szCs w:val="24"/>
        </w:rPr>
      </w:pPr>
      <w:r w:rsidRPr="004E5FAA">
        <w:rPr>
          <w:rFonts w:ascii="Ravensbourne Sans" w:hAnsi="Ravensbourne Sans" w:cs="Arial"/>
          <w:b/>
          <w:color w:val="000000" w:themeColor="text1"/>
          <w:sz w:val="24"/>
          <w:szCs w:val="24"/>
        </w:rPr>
        <w:t>Key Point</w:t>
      </w:r>
      <w:r w:rsidRPr="00EA2EB2">
        <w:rPr>
          <w:rFonts w:ascii="Ravensbourne Sans" w:hAnsi="Ravensbourne Sans" w:cs="Arial"/>
          <w:b/>
          <w:color w:val="000000" w:themeColor="text1"/>
          <w:sz w:val="24"/>
          <w:szCs w:val="24"/>
        </w:rPr>
        <w:t xml:space="preserve">: </w:t>
      </w:r>
    </w:p>
    <w:p w14:paraId="01F01504" w14:textId="4EC557BF" w:rsidR="00270563" w:rsidRPr="00EA2EB2" w:rsidRDefault="0035050F" w:rsidP="00EA2EB2">
      <w:pPr>
        <w:pStyle w:val="ListParagraph"/>
        <w:numPr>
          <w:ilvl w:val="0"/>
          <w:numId w:val="12"/>
        </w:numPr>
        <w:spacing w:after="0"/>
        <w:ind w:left="284" w:hanging="284"/>
        <w:rPr>
          <w:rFonts w:ascii="Ravensbourne Sans" w:hAnsi="Ravensbourne Sans" w:cs="Arial"/>
          <w:color w:val="000000" w:themeColor="text1"/>
          <w:sz w:val="24"/>
          <w:szCs w:val="24"/>
        </w:rPr>
      </w:pPr>
      <w:r w:rsidRPr="00EA2EB2">
        <w:rPr>
          <w:rFonts w:ascii="Ravensbourne Sans" w:hAnsi="Ravensbourne Sans" w:cs="Arial"/>
          <w:color w:val="000000" w:themeColor="text1"/>
          <w:sz w:val="24"/>
          <w:szCs w:val="24"/>
        </w:rPr>
        <w:t>Disabled staff ar</w:t>
      </w:r>
      <w:r w:rsidR="006B3DCD">
        <w:rPr>
          <w:rFonts w:ascii="Ravensbourne Sans" w:hAnsi="Ravensbourne Sans" w:cs="Arial"/>
          <w:color w:val="000000" w:themeColor="text1"/>
          <w:sz w:val="24"/>
          <w:szCs w:val="24"/>
        </w:rPr>
        <w:t>e represented in all pay b</w:t>
      </w:r>
      <w:r w:rsidR="00695854">
        <w:rPr>
          <w:rFonts w:ascii="Ravensbourne Sans" w:hAnsi="Ravensbourne Sans" w:cs="Arial"/>
          <w:color w:val="000000" w:themeColor="text1"/>
          <w:sz w:val="24"/>
          <w:szCs w:val="24"/>
        </w:rPr>
        <w:t xml:space="preserve">ands - </w:t>
      </w:r>
      <w:r w:rsidR="000A2863">
        <w:rPr>
          <w:rFonts w:ascii="Ravensbourne Sans" w:hAnsi="Ravensbourne Sans" w:cs="Arial"/>
          <w:color w:val="000000" w:themeColor="text1"/>
          <w:sz w:val="24"/>
          <w:szCs w:val="24"/>
        </w:rPr>
        <w:t xml:space="preserve">predominantly in </w:t>
      </w:r>
      <w:r w:rsidR="006B3DCD">
        <w:rPr>
          <w:rFonts w:ascii="Ravensbourne Sans" w:hAnsi="Ravensbourne Sans" w:cs="Arial"/>
          <w:color w:val="000000" w:themeColor="text1"/>
          <w:sz w:val="24"/>
          <w:szCs w:val="24"/>
        </w:rPr>
        <w:t xml:space="preserve">D and E </w:t>
      </w:r>
      <w:r w:rsidR="00783CCD" w:rsidRPr="00EA2EB2">
        <w:rPr>
          <w:rFonts w:ascii="Ravensbourne Sans" w:hAnsi="Ravensbourne Sans" w:cs="Arial"/>
          <w:color w:val="000000" w:themeColor="text1"/>
          <w:sz w:val="24"/>
          <w:szCs w:val="24"/>
        </w:rPr>
        <w:t xml:space="preserve"> </w:t>
      </w:r>
    </w:p>
    <w:p w14:paraId="1294120D" w14:textId="20E66AB3" w:rsidR="0035050F" w:rsidRDefault="0035050F" w:rsidP="0035050F">
      <w:pPr>
        <w:pStyle w:val="ListParagraph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4298140B" w14:textId="0EB73F83" w:rsidR="00753C69" w:rsidRDefault="00753C69" w:rsidP="0035050F">
      <w:pPr>
        <w:pStyle w:val="ListParagraph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270C4840" w14:textId="5F47D031" w:rsidR="00753C69" w:rsidRDefault="00753C69" w:rsidP="0035050F">
      <w:pPr>
        <w:pStyle w:val="ListParagraph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610AE0E2" w14:textId="5CCD872D" w:rsidR="00753C69" w:rsidRDefault="00753C69" w:rsidP="0035050F">
      <w:pPr>
        <w:pStyle w:val="ListParagraph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53C7BDDC" w14:textId="513D9B36" w:rsidR="00753C69" w:rsidRDefault="00753C69" w:rsidP="0035050F">
      <w:pPr>
        <w:pStyle w:val="ListParagraph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43784E51" w14:textId="29BB1D44" w:rsidR="00753C69" w:rsidRDefault="00753C69" w:rsidP="0035050F">
      <w:pPr>
        <w:pStyle w:val="ListParagraph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0A5E78CC" w14:textId="69FA128A" w:rsidR="00753C69" w:rsidRDefault="00753C69" w:rsidP="0035050F">
      <w:pPr>
        <w:pStyle w:val="ListParagraph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75CDAC1B" w14:textId="5A476028" w:rsidR="00753C69" w:rsidRPr="00753C69" w:rsidRDefault="00753C69" w:rsidP="00753C69">
      <w:pPr>
        <w:tabs>
          <w:tab w:val="left" w:pos="284"/>
        </w:tabs>
        <w:rPr>
          <w:rFonts w:ascii="Ravensbourne Sans" w:hAnsi="Ravensbourne Sans" w:cs="Arial"/>
          <w:color w:val="000000" w:themeColor="text1"/>
          <w:sz w:val="24"/>
          <w:szCs w:val="24"/>
        </w:rPr>
      </w:pPr>
      <w:r>
        <w:rPr>
          <w:rFonts w:ascii="Ravensbourne Sans" w:hAnsi="Ravensbourne Sans"/>
          <w:b/>
          <w:color w:val="17365D" w:themeColor="text2" w:themeShade="BF"/>
          <w:sz w:val="24"/>
          <w:szCs w:val="24"/>
        </w:rPr>
        <w:lastRenderedPageBreak/>
        <w:tab/>
      </w:r>
      <w:r w:rsidRPr="00F677DD">
        <w:rPr>
          <w:rFonts w:ascii="Ravensbourne Sans" w:hAnsi="Ravensbourne Sans"/>
          <w:b/>
          <w:color w:val="17365D" w:themeColor="text2" w:themeShade="BF"/>
          <w:sz w:val="24"/>
          <w:szCs w:val="24"/>
        </w:rPr>
        <w:t xml:space="preserve">Chart </w:t>
      </w:r>
      <w:r>
        <w:rPr>
          <w:rFonts w:ascii="Ravensbourne Sans" w:hAnsi="Ravensbourne Sans"/>
          <w:b/>
          <w:color w:val="17365D" w:themeColor="text2" w:themeShade="BF"/>
          <w:sz w:val="24"/>
          <w:szCs w:val="24"/>
        </w:rPr>
        <w:t>15</w:t>
      </w:r>
    </w:p>
    <w:p w14:paraId="7097391B" w14:textId="6D64AE60" w:rsidR="00783CCD" w:rsidRDefault="004137DD" w:rsidP="00655AA6">
      <w:pPr>
        <w:ind w:left="284" w:right="-746"/>
        <w:rPr>
          <w:rFonts w:ascii="Ravensbourne Sans" w:hAnsi="Ravensbourne Sans" w:cs="Arial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D3ED50C" wp14:editId="29F92DA2">
            <wp:extent cx="4092498" cy="2943225"/>
            <wp:effectExtent l="0" t="0" r="3810" b="9525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A6529D0" w14:textId="4777A9FA" w:rsidR="0035050F" w:rsidRDefault="0035050F" w:rsidP="004723DC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  <w:r w:rsidRPr="0035050F">
        <w:rPr>
          <w:rFonts w:ascii="Ravensbourne Sans" w:hAnsi="Ravensbourne Sans" w:cs="Arial"/>
          <w:b/>
          <w:color w:val="000000" w:themeColor="text1"/>
          <w:sz w:val="24"/>
          <w:szCs w:val="24"/>
        </w:rPr>
        <w:t>Key Point</w:t>
      </w:r>
      <w:r>
        <w:rPr>
          <w:rFonts w:ascii="Ravensbourne Sans" w:hAnsi="Ravensbourne Sans" w:cs="Arial"/>
          <w:color w:val="000000" w:themeColor="text1"/>
          <w:sz w:val="24"/>
          <w:szCs w:val="24"/>
        </w:rPr>
        <w:t>:</w:t>
      </w:r>
    </w:p>
    <w:p w14:paraId="7F489726" w14:textId="751A9558" w:rsidR="006A289B" w:rsidRDefault="005F7A7A" w:rsidP="00DF1616">
      <w:pPr>
        <w:pStyle w:val="ListParagraph"/>
        <w:numPr>
          <w:ilvl w:val="0"/>
          <w:numId w:val="12"/>
        </w:numPr>
        <w:spacing w:after="0"/>
        <w:ind w:left="284" w:hanging="284"/>
        <w:rPr>
          <w:rFonts w:ascii="Ravensbourne Sans" w:hAnsi="Ravensbourne Sans" w:cs="Arial"/>
          <w:color w:val="000000" w:themeColor="text1"/>
          <w:sz w:val="24"/>
          <w:szCs w:val="24"/>
        </w:rPr>
      </w:pPr>
      <w:r w:rsidRPr="0035050F">
        <w:rPr>
          <w:rFonts w:ascii="Ravensbourne Sans" w:hAnsi="Ravensbourne Sans" w:cs="Arial"/>
          <w:color w:val="000000" w:themeColor="text1"/>
          <w:sz w:val="24"/>
          <w:szCs w:val="24"/>
        </w:rPr>
        <w:t xml:space="preserve">Disabled staff continued to be well represented within the managerial structure, most visibly at Middle management where </w:t>
      </w:r>
      <w:r w:rsidR="004C28F7" w:rsidRPr="0035050F">
        <w:rPr>
          <w:rFonts w:ascii="Ravensbourne Sans" w:hAnsi="Ravensbourne Sans" w:cs="Arial"/>
          <w:color w:val="000000" w:themeColor="text1"/>
          <w:sz w:val="24"/>
          <w:szCs w:val="24"/>
        </w:rPr>
        <w:t>10</w:t>
      </w:r>
      <w:r w:rsidRPr="0035050F">
        <w:rPr>
          <w:rFonts w:ascii="Ravensbourne Sans" w:hAnsi="Ravensbourne Sans" w:cs="Arial"/>
          <w:color w:val="000000" w:themeColor="text1"/>
          <w:sz w:val="24"/>
          <w:szCs w:val="24"/>
        </w:rPr>
        <w:t>% were located</w:t>
      </w:r>
      <w:r w:rsidR="00571736" w:rsidRPr="0035050F">
        <w:rPr>
          <w:rFonts w:ascii="Ravensbourne Sans" w:hAnsi="Ravensbourne Sans" w:cs="Arial"/>
          <w:color w:val="000000" w:themeColor="text1"/>
          <w:sz w:val="24"/>
          <w:szCs w:val="24"/>
        </w:rPr>
        <w:t xml:space="preserve">. </w:t>
      </w:r>
    </w:p>
    <w:p w14:paraId="17E052BF" w14:textId="04E9A2A6" w:rsidR="00753C69" w:rsidRDefault="00753C69" w:rsidP="00753C69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12115C8D" w14:textId="033DF7F1" w:rsidR="00753C69" w:rsidRDefault="00753C69" w:rsidP="00753C69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7B5D8953" w14:textId="772D6661" w:rsidR="00753C69" w:rsidRDefault="00753C69" w:rsidP="00753C69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23BD889B" w14:textId="501109BB" w:rsidR="00753C69" w:rsidRDefault="00753C69" w:rsidP="00753C69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38AF30B0" w14:textId="4FC22EE1" w:rsidR="00753C69" w:rsidRDefault="00753C69" w:rsidP="00753C69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678D55D0" w14:textId="29397F72" w:rsidR="00753C69" w:rsidRDefault="00753C69" w:rsidP="00753C69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1DDB04B2" w14:textId="0C6BE95A" w:rsidR="00753C69" w:rsidRDefault="00753C69" w:rsidP="00753C69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6F7DCCA7" w14:textId="0E9216C2" w:rsidR="00753C69" w:rsidRPr="00753C69" w:rsidRDefault="00753C69" w:rsidP="00753C69">
      <w:pPr>
        <w:rPr>
          <w:rFonts w:ascii="Ravensbourne Sans" w:hAnsi="Ravensbourne Sans" w:cs="Arial"/>
          <w:color w:val="000000" w:themeColor="text1"/>
          <w:sz w:val="24"/>
          <w:szCs w:val="24"/>
        </w:rPr>
      </w:pPr>
      <w:r w:rsidRPr="00F677DD">
        <w:rPr>
          <w:rFonts w:ascii="Ravensbourne Sans" w:hAnsi="Ravensbourne Sans"/>
          <w:b/>
          <w:color w:val="17365D" w:themeColor="text2" w:themeShade="BF"/>
          <w:sz w:val="24"/>
          <w:szCs w:val="24"/>
        </w:rPr>
        <w:lastRenderedPageBreak/>
        <w:t xml:space="preserve">Chart </w:t>
      </w:r>
      <w:r>
        <w:rPr>
          <w:rFonts w:ascii="Ravensbourne Sans" w:hAnsi="Ravensbourne Sans"/>
          <w:b/>
          <w:color w:val="17365D" w:themeColor="text2" w:themeShade="BF"/>
          <w:sz w:val="24"/>
          <w:szCs w:val="24"/>
        </w:rPr>
        <w:t>16</w:t>
      </w:r>
    </w:p>
    <w:p w14:paraId="778E134B" w14:textId="2272A8AA" w:rsidR="006A289B" w:rsidRDefault="006A289B" w:rsidP="00105C38">
      <w:pPr>
        <w:rPr>
          <w:rFonts w:ascii="Ravensbourne Sans" w:hAnsi="Ravensbourne Sans" w:cs="Arial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3BD5501" wp14:editId="6A8A33A2">
            <wp:extent cx="4348976" cy="2994025"/>
            <wp:effectExtent l="0" t="0" r="13970" b="15875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2FBBD46" w14:textId="41ABC6C1" w:rsidR="004723DC" w:rsidRDefault="004723DC" w:rsidP="004723DC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  <w:r w:rsidRPr="004723DC">
        <w:rPr>
          <w:rFonts w:ascii="Ravensbourne Sans" w:hAnsi="Ravensbourne Sans" w:cs="Arial"/>
          <w:b/>
          <w:color w:val="000000" w:themeColor="text1"/>
          <w:sz w:val="24"/>
          <w:szCs w:val="24"/>
        </w:rPr>
        <w:t>Key Point</w:t>
      </w:r>
      <w:r>
        <w:rPr>
          <w:rFonts w:ascii="Ravensbourne Sans" w:hAnsi="Ravensbourne Sans" w:cs="Arial"/>
          <w:color w:val="000000" w:themeColor="text1"/>
          <w:sz w:val="24"/>
          <w:szCs w:val="24"/>
        </w:rPr>
        <w:t xml:space="preserve">: </w:t>
      </w:r>
    </w:p>
    <w:p w14:paraId="0126B05D" w14:textId="55F23A76" w:rsidR="005F7A7A" w:rsidRPr="00DF1616" w:rsidRDefault="00B86772" w:rsidP="00DF1616">
      <w:pPr>
        <w:pStyle w:val="ListParagraph"/>
        <w:numPr>
          <w:ilvl w:val="0"/>
          <w:numId w:val="12"/>
        </w:numPr>
        <w:spacing w:after="0"/>
        <w:ind w:left="284" w:hanging="284"/>
        <w:rPr>
          <w:rFonts w:ascii="Ravensbourne Sans" w:hAnsi="Ravensbourne Sans" w:cs="Arial"/>
          <w:color w:val="000000" w:themeColor="text1"/>
          <w:sz w:val="24"/>
          <w:szCs w:val="24"/>
        </w:rPr>
      </w:pPr>
      <w:r w:rsidRPr="00DF1616">
        <w:rPr>
          <w:rFonts w:ascii="Ravensbourne Sans" w:hAnsi="Ravensbourne Sans" w:cs="Arial"/>
          <w:color w:val="000000" w:themeColor="text1"/>
          <w:sz w:val="24"/>
          <w:szCs w:val="24"/>
        </w:rPr>
        <w:t>R</w:t>
      </w:r>
      <w:r w:rsidR="00571736" w:rsidRPr="00DF1616">
        <w:rPr>
          <w:rFonts w:ascii="Ravensbourne Sans" w:hAnsi="Ravensbourne Sans" w:cs="Arial"/>
          <w:color w:val="000000" w:themeColor="text1"/>
          <w:sz w:val="24"/>
          <w:szCs w:val="24"/>
        </w:rPr>
        <w:t xml:space="preserve">epresentation at </w:t>
      </w:r>
      <w:r w:rsidR="00443320">
        <w:rPr>
          <w:rFonts w:ascii="Ravensbourne Sans" w:hAnsi="Ravensbourne Sans" w:cs="Arial"/>
          <w:color w:val="000000" w:themeColor="text1"/>
          <w:sz w:val="24"/>
          <w:szCs w:val="24"/>
        </w:rPr>
        <w:t xml:space="preserve">the </w:t>
      </w:r>
      <w:r w:rsidRPr="00DF1616">
        <w:rPr>
          <w:rFonts w:ascii="Ravensbourne Sans" w:hAnsi="Ravensbourne Sans" w:cs="Arial"/>
          <w:color w:val="000000" w:themeColor="text1"/>
          <w:sz w:val="24"/>
          <w:szCs w:val="24"/>
        </w:rPr>
        <w:t xml:space="preserve">Executive </w:t>
      </w:r>
      <w:r w:rsidR="00443320">
        <w:rPr>
          <w:rFonts w:ascii="Ravensbourne Sans" w:hAnsi="Ravensbourne Sans" w:cs="Arial"/>
          <w:color w:val="000000" w:themeColor="text1"/>
          <w:sz w:val="24"/>
          <w:szCs w:val="24"/>
        </w:rPr>
        <w:t>level marginally increased last year to 22%</w:t>
      </w:r>
      <w:r w:rsidR="004C28F7" w:rsidRPr="00DF1616">
        <w:rPr>
          <w:rFonts w:ascii="Ravensbourne Sans" w:hAnsi="Ravensbourne Sans" w:cs="Arial"/>
          <w:color w:val="000000" w:themeColor="text1"/>
          <w:sz w:val="24"/>
          <w:szCs w:val="24"/>
        </w:rPr>
        <w:t>.</w:t>
      </w:r>
    </w:p>
    <w:p w14:paraId="02EA34B1" w14:textId="358C7F80" w:rsidR="004723DC" w:rsidRDefault="004723DC" w:rsidP="004723DC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6A04129C" w14:textId="5A73DAB2" w:rsidR="00753C69" w:rsidRDefault="00753C69" w:rsidP="004723DC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2999BB80" w14:textId="4CA307A4" w:rsidR="00753C69" w:rsidRDefault="00753C69" w:rsidP="004723DC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25690DB3" w14:textId="5A0AB540" w:rsidR="00753C69" w:rsidRDefault="00753C69" w:rsidP="004723DC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67D83310" w14:textId="54CA7F11" w:rsidR="00753C69" w:rsidRDefault="00753C69" w:rsidP="004723DC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7779839E" w14:textId="491E24A2" w:rsidR="00753C69" w:rsidRDefault="00753C69" w:rsidP="004723DC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247041A8" w14:textId="460C7125" w:rsidR="00753C69" w:rsidRDefault="00753C69" w:rsidP="004723DC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18172D02" w14:textId="550F11D1" w:rsidR="00753C69" w:rsidRPr="00753C69" w:rsidRDefault="00753C69" w:rsidP="00753C69">
      <w:pPr>
        <w:tabs>
          <w:tab w:val="left" w:pos="284"/>
        </w:tabs>
        <w:rPr>
          <w:rFonts w:ascii="Ravensbourne Sans" w:hAnsi="Ravensbourne Sans" w:cs="Arial"/>
          <w:color w:val="000000" w:themeColor="text1"/>
          <w:sz w:val="24"/>
          <w:szCs w:val="24"/>
        </w:rPr>
      </w:pPr>
      <w:r>
        <w:rPr>
          <w:rFonts w:ascii="Ravensbourne Sans" w:hAnsi="Ravensbourne Sans"/>
          <w:b/>
          <w:color w:val="17365D" w:themeColor="text2" w:themeShade="BF"/>
          <w:sz w:val="24"/>
          <w:szCs w:val="24"/>
        </w:rPr>
        <w:lastRenderedPageBreak/>
        <w:tab/>
      </w:r>
      <w:r w:rsidRPr="00F677DD">
        <w:rPr>
          <w:rFonts w:ascii="Ravensbourne Sans" w:hAnsi="Ravensbourne Sans"/>
          <w:b/>
          <w:color w:val="17365D" w:themeColor="text2" w:themeShade="BF"/>
          <w:sz w:val="24"/>
          <w:szCs w:val="24"/>
        </w:rPr>
        <w:t xml:space="preserve">Chart </w:t>
      </w:r>
      <w:r>
        <w:rPr>
          <w:rFonts w:ascii="Ravensbourne Sans" w:hAnsi="Ravensbourne Sans"/>
          <w:b/>
          <w:color w:val="17365D" w:themeColor="text2" w:themeShade="BF"/>
          <w:sz w:val="24"/>
          <w:szCs w:val="24"/>
        </w:rPr>
        <w:t>17</w:t>
      </w:r>
    </w:p>
    <w:p w14:paraId="0DA383AF" w14:textId="2B197573" w:rsidR="00783CCD" w:rsidRDefault="00783CCD" w:rsidP="00F23F7E">
      <w:pPr>
        <w:ind w:left="284"/>
        <w:rPr>
          <w:rFonts w:ascii="Ravensbourne Sans" w:hAnsi="Ravensbourne Sans" w:cs="Arial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ABB8C81" wp14:editId="1F8068C4">
            <wp:extent cx="4162425" cy="2994025"/>
            <wp:effectExtent l="0" t="0" r="0" b="15875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8E9BE00" w14:textId="77777777" w:rsidR="004723DC" w:rsidRPr="00DF1616" w:rsidRDefault="004723DC" w:rsidP="00DF1616">
      <w:pPr>
        <w:spacing w:after="0"/>
        <w:rPr>
          <w:rFonts w:ascii="Ravensbourne Sans" w:hAnsi="Ravensbourne Sans" w:cs="Arial"/>
          <w:b/>
          <w:color w:val="000000" w:themeColor="text1"/>
          <w:sz w:val="24"/>
          <w:szCs w:val="24"/>
        </w:rPr>
      </w:pPr>
      <w:r w:rsidRPr="004723DC">
        <w:rPr>
          <w:rFonts w:ascii="Ravensbourne Sans" w:hAnsi="Ravensbourne Sans" w:cs="Arial"/>
          <w:b/>
          <w:color w:val="000000" w:themeColor="text1"/>
          <w:sz w:val="24"/>
          <w:szCs w:val="24"/>
        </w:rPr>
        <w:t>Key Point</w:t>
      </w:r>
      <w:r w:rsidRPr="00DF1616">
        <w:rPr>
          <w:rFonts w:ascii="Ravensbourne Sans" w:hAnsi="Ravensbourne Sans" w:cs="Arial"/>
          <w:b/>
          <w:color w:val="000000" w:themeColor="text1"/>
          <w:sz w:val="24"/>
          <w:szCs w:val="24"/>
        </w:rPr>
        <w:t xml:space="preserve">: </w:t>
      </w:r>
    </w:p>
    <w:p w14:paraId="405E16D9" w14:textId="5CEE6917" w:rsidR="00A86D88" w:rsidRDefault="008546AD" w:rsidP="00DF1616">
      <w:pPr>
        <w:pStyle w:val="ListParagraph"/>
        <w:numPr>
          <w:ilvl w:val="0"/>
          <w:numId w:val="12"/>
        </w:numPr>
        <w:spacing w:after="0"/>
        <w:ind w:left="284" w:hanging="284"/>
        <w:rPr>
          <w:rFonts w:ascii="Ravensbourne Sans" w:hAnsi="Ravensbourne Sans" w:cs="Arial"/>
          <w:color w:val="000000" w:themeColor="text1"/>
          <w:sz w:val="24"/>
          <w:szCs w:val="24"/>
        </w:rPr>
      </w:pPr>
      <w:r w:rsidRPr="00DF1616">
        <w:rPr>
          <w:rFonts w:ascii="Ravensbourne Sans" w:hAnsi="Ravensbourne Sans" w:cs="Arial"/>
          <w:color w:val="000000" w:themeColor="text1"/>
          <w:sz w:val="24"/>
          <w:szCs w:val="24"/>
        </w:rPr>
        <w:t xml:space="preserve">The percentage of Academic with a disability remained </w:t>
      </w:r>
      <w:r w:rsidR="00252815">
        <w:rPr>
          <w:rFonts w:ascii="Ravensbourne Sans" w:hAnsi="Ravensbourne Sans" w:cs="Arial"/>
          <w:color w:val="000000" w:themeColor="text1"/>
          <w:sz w:val="24"/>
          <w:szCs w:val="24"/>
        </w:rPr>
        <w:t xml:space="preserve">static, </w:t>
      </w:r>
      <w:r w:rsidRPr="00DF1616">
        <w:rPr>
          <w:rFonts w:ascii="Ravensbourne Sans" w:hAnsi="Ravensbourne Sans" w:cs="Arial"/>
          <w:color w:val="000000" w:themeColor="text1"/>
          <w:sz w:val="24"/>
          <w:szCs w:val="24"/>
        </w:rPr>
        <w:t xml:space="preserve">at 13% </w:t>
      </w:r>
    </w:p>
    <w:p w14:paraId="41428281" w14:textId="1297FDAF" w:rsidR="00753C69" w:rsidRDefault="00753C69" w:rsidP="00753C69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6BEBD825" w14:textId="589FC56A" w:rsidR="00753C69" w:rsidRDefault="00753C69" w:rsidP="00753C69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0465561F" w14:textId="489855A1" w:rsidR="00753C69" w:rsidRDefault="00753C69" w:rsidP="00753C69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1719E6F2" w14:textId="08B59D50" w:rsidR="00753C69" w:rsidRDefault="00753C69" w:rsidP="00753C69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3A60B01A" w14:textId="7CD8F1E2" w:rsidR="00753C69" w:rsidRDefault="00753C69" w:rsidP="00753C69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29C46EC1" w14:textId="03CF0E03" w:rsidR="00753C69" w:rsidRDefault="00753C69" w:rsidP="00753C69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39593ED0" w14:textId="44877BDB" w:rsidR="00753C69" w:rsidRDefault="00753C69" w:rsidP="00753C69">
      <w:pPr>
        <w:spacing w:after="0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2D934F93" w14:textId="1A270180" w:rsidR="00753C69" w:rsidRPr="00753C69" w:rsidRDefault="00753C69" w:rsidP="00753C69">
      <w:pPr>
        <w:rPr>
          <w:rFonts w:ascii="Ravensbourne Sans" w:hAnsi="Ravensbourne Sans" w:cs="Arial"/>
          <w:color w:val="000000" w:themeColor="text1"/>
          <w:sz w:val="24"/>
          <w:szCs w:val="24"/>
        </w:rPr>
      </w:pPr>
      <w:r w:rsidRPr="00F677DD">
        <w:rPr>
          <w:rFonts w:ascii="Ravensbourne Sans" w:hAnsi="Ravensbourne Sans"/>
          <w:b/>
          <w:color w:val="17365D" w:themeColor="text2" w:themeShade="BF"/>
          <w:sz w:val="24"/>
          <w:szCs w:val="24"/>
        </w:rPr>
        <w:lastRenderedPageBreak/>
        <w:t xml:space="preserve">Chart </w:t>
      </w:r>
      <w:r>
        <w:rPr>
          <w:rFonts w:ascii="Ravensbourne Sans" w:hAnsi="Ravensbourne Sans"/>
          <w:b/>
          <w:color w:val="17365D" w:themeColor="text2" w:themeShade="BF"/>
          <w:sz w:val="24"/>
          <w:szCs w:val="24"/>
        </w:rPr>
        <w:t>18</w:t>
      </w:r>
    </w:p>
    <w:p w14:paraId="749F467D" w14:textId="733F20AD" w:rsidR="00A86D88" w:rsidRPr="00105C38" w:rsidRDefault="00A86D88" w:rsidP="00105C38">
      <w:pPr>
        <w:rPr>
          <w:rFonts w:ascii="Ravensbourne Sans" w:hAnsi="Ravensbourne Sans" w:cs="Arial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7D577B2" wp14:editId="2BFC8F07">
            <wp:extent cx="3943350" cy="2753360"/>
            <wp:effectExtent l="0" t="0" r="0" b="889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0DE73DA" w14:textId="77777777" w:rsidR="004723DC" w:rsidRPr="00DF1616" w:rsidRDefault="004723DC" w:rsidP="00DF1616">
      <w:pPr>
        <w:spacing w:after="0"/>
        <w:rPr>
          <w:rFonts w:ascii="Ravensbourne Sans" w:hAnsi="Ravensbourne Sans" w:cs="Arial"/>
          <w:b/>
          <w:color w:val="000000" w:themeColor="text1"/>
          <w:sz w:val="24"/>
          <w:szCs w:val="24"/>
        </w:rPr>
      </w:pPr>
      <w:r w:rsidRPr="004723DC">
        <w:rPr>
          <w:rFonts w:ascii="Ravensbourne Sans" w:hAnsi="Ravensbourne Sans" w:cs="Arial"/>
          <w:b/>
          <w:color w:val="000000" w:themeColor="text1"/>
          <w:sz w:val="24"/>
          <w:szCs w:val="24"/>
        </w:rPr>
        <w:t>Key Points</w:t>
      </w:r>
      <w:r w:rsidRPr="00DF1616">
        <w:rPr>
          <w:rFonts w:ascii="Ravensbourne Sans" w:hAnsi="Ravensbourne Sans" w:cs="Arial"/>
          <w:b/>
          <w:color w:val="000000" w:themeColor="text1"/>
          <w:sz w:val="24"/>
          <w:szCs w:val="24"/>
        </w:rPr>
        <w:t>:</w:t>
      </w:r>
    </w:p>
    <w:p w14:paraId="2B102EC0" w14:textId="797B747E" w:rsidR="008546AD" w:rsidRPr="00DF1616" w:rsidRDefault="00587D46" w:rsidP="00DF1616">
      <w:pPr>
        <w:pStyle w:val="ListParagraph"/>
        <w:numPr>
          <w:ilvl w:val="0"/>
          <w:numId w:val="12"/>
        </w:numPr>
        <w:spacing w:after="0"/>
        <w:ind w:left="284" w:hanging="284"/>
        <w:rPr>
          <w:rFonts w:ascii="Ravensbourne Sans" w:hAnsi="Ravensbourne Sans" w:cs="Arial"/>
          <w:color w:val="000000" w:themeColor="text1"/>
          <w:sz w:val="24"/>
          <w:szCs w:val="24"/>
        </w:rPr>
      </w:pPr>
      <w:r>
        <w:rPr>
          <w:rFonts w:ascii="Ravensbourne Sans" w:hAnsi="Ravensbourne Sans" w:cs="Arial"/>
          <w:color w:val="000000" w:themeColor="text1"/>
          <w:sz w:val="24"/>
          <w:szCs w:val="24"/>
        </w:rPr>
        <w:t xml:space="preserve">The majority of </w:t>
      </w:r>
      <w:r w:rsidR="004723DC" w:rsidRPr="00DF1616">
        <w:rPr>
          <w:rFonts w:ascii="Ravensbourne Sans" w:hAnsi="Ravensbourne Sans" w:cs="Arial"/>
          <w:color w:val="000000" w:themeColor="text1"/>
          <w:sz w:val="24"/>
          <w:szCs w:val="24"/>
        </w:rPr>
        <w:t xml:space="preserve">disabled staff have more than </w:t>
      </w:r>
      <w:r w:rsidR="005F7A7A" w:rsidRPr="00DF1616">
        <w:rPr>
          <w:rFonts w:ascii="Ravensbourne Sans" w:hAnsi="Ravensbourne Sans" w:cs="Arial"/>
          <w:color w:val="000000" w:themeColor="text1"/>
          <w:sz w:val="24"/>
          <w:szCs w:val="24"/>
        </w:rPr>
        <w:t>5 years’ service</w:t>
      </w:r>
      <w:r>
        <w:rPr>
          <w:rFonts w:ascii="Ravensbourne Sans" w:hAnsi="Ravensbourne Sans" w:cs="Arial"/>
          <w:color w:val="000000" w:themeColor="text1"/>
          <w:sz w:val="24"/>
          <w:szCs w:val="24"/>
        </w:rPr>
        <w:t>. The annual meeting with individual disabled staff to un</w:t>
      </w:r>
      <w:r w:rsidR="00BA393B">
        <w:rPr>
          <w:rFonts w:ascii="Ravensbourne Sans" w:hAnsi="Ravensbourne Sans" w:cs="Arial"/>
          <w:color w:val="000000" w:themeColor="text1"/>
          <w:sz w:val="24"/>
          <w:szCs w:val="24"/>
        </w:rPr>
        <w:t xml:space="preserve">derstand to what extent, </w:t>
      </w:r>
      <w:r>
        <w:rPr>
          <w:rFonts w:ascii="Ravensbourne Sans" w:hAnsi="Ravensbourne Sans" w:cs="Arial"/>
          <w:color w:val="000000" w:themeColor="text1"/>
          <w:sz w:val="24"/>
          <w:szCs w:val="24"/>
        </w:rPr>
        <w:t xml:space="preserve">reasonable adjustments are meeting their needs, </w:t>
      </w:r>
      <w:r w:rsidR="005F7A7A" w:rsidRPr="00DF1616">
        <w:rPr>
          <w:rFonts w:ascii="Ravensbourne Sans" w:hAnsi="Ravensbourne Sans" w:cs="Arial"/>
          <w:color w:val="000000" w:themeColor="text1"/>
          <w:sz w:val="24"/>
          <w:szCs w:val="24"/>
        </w:rPr>
        <w:t>may</w:t>
      </w:r>
      <w:r w:rsidR="004723DC" w:rsidRPr="00DF1616">
        <w:rPr>
          <w:rFonts w:ascii="Ravensbourne Sans" w:hAnsi="Ravensbourne Sans" w:cs="Arial"/>
          <w:color w:val="000000" w:themeColor="text1"/>
          <w:sz w:val="24"/>
          <w:szCs w:val="24"/>
        </w:rPr>
        <w:t xml:space="preserve"> be </w:t>
      </w:r>
      <w:r>
        <w:rPr>
          <w:rFonts w:ascii="Ravensbourne Sans" w:hAnsi="Ravensbourne Sans" w:cs="Arial"/>
          <w:color w:val="000000" w:themeColor="text1"/>
          <w:sz w:val="24"/>
          <w:szCs w:val="24"/>
        </w:rPr>
        <w:t xml:space="preserve">a contributory factor of continuous service </w:t>
      </w:r>
    </w:p>
    <w:p w14:paraId="7DD4FAA0" w14:textId="77777777" w:rsidR="00DF1616" w:rsidRDefault="00B745CC" w:rsidP="00DF1616">
      <w:pPr>
        <w:pStyle w:val="ListParagraph"/>
        <w:numPr>
          <w:ilvl w:val="0"/>
          <w:numId w:val="12"/>
        </w:numPr>
        <w:ind w:left="284" w:hanging="284"/>
        <w:rPr>
          <w:rFonts w:ascii="Ravensbourne Sans" w:hAnsi="Ravensbourne Sans" w:cs="Arial"/>
          <w:color w:val="000000" w:themeColor="text1"/>
          <w:sz w:val="24"/>
          <w:szCs w:val="24"/>
        </w:rPr>
      </w:pPr>
      <w:r w:rsidRPr="004723DC">
        <w:rPr>
          <w:rFonts w:ascii="Ravensbourne Sans" w:hAnsi="Ravensbourne Sans" w:cs="Arial"/>
          <w:color w:val="000000" w:themeColor="text1"/>
          <w:sz w:val="24"/>
          <w:szCs w:val="24"/>
        </w:rPr>
        <w:t xml:space="preserve">In August 2017, Ravensbourne was reviewed under the new Disability Confident Scheme and successfully passed the level 2 standard to become a “Disability Confident Employer”. This Scheme replaces the previous “Two Ticks” model and is valid for two years. </w:t>
      </w:r>
    </w:p>
    <w:p w14:paraId="6161D4DB" w14:textId="77777777" w:rsidR="00DF1616" w:rsidRDefault="00DF1616" w:rsidP="00DF1616">
      <w:pPr>
        <w:pStyle w:val="ListParagraph"/>
        <w:ind w:left="284"/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6307E177" w14:textId="7D85702E" w:rsidR="00B745CC" w:rsidRPr="004723DC" w:rsidRDefault="00112B48" w:rsidP="00DF1616">
      <w:pPr>
        <w:pStyle w:val="ListParagraph"/>
        <w:ind w:left="284"/>
        <w:rPr>
          <w:rFonts w:ascii="Ravensbourne Sans" w:hAnsi="Ravensbourne Sans" w:cs="Arial"/>
          <w:color w:val="000000" w:themeColor="text1"/>
          <w:sz w:val="24"/>
          <w:szCs w:val="24"/>
        </w:rPr>
      </w:pPr>
      <w:r>
        <w:rPr>
          <w:rFonts w:ascii="Ravensbourne Sans" w:hAnsi="Ravensbourne Sans" w:cs="Arial"/>
          <w:color w:val="000000" w:themeColor="text1"/>
          <w:sz w:val="24"/>
          <w:szCs w:val="24"/>
        </w:rPr>
        <w:lastRenderedPageBreak/>
        <w:t xml:space="preserve"> </w:t>
      </w:r>
    </w:p>
    <w:p w14:paraId="6BA2DE7F" w14:textId="3C6DC802" w:rsidR="00185922" w:rsidRDefault="00185922" w:rsidP="005F7A7A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5A9EC9EB" w14:textId="1DE84A7D" w:rsidR="00CA408E" w:rsidRDefault="00CA408E" w:rsidP="005F7A7A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737E61D1" w14:textId="77777777" w:rsidR="00CA408E" w:rsidRDefault="00CA408E" w:rsidP="005F7A7A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36A5D7D7" w14:textId="77777777" w:rsidR="00185922" w:rsidRDefault="00185922" w:rsidP="005F7A7A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400E861F" w14:textId="77777777" w:rsidR="00185922" w:rsidRDefault="00185922" w:rsidP="005F7A7A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5F0FC541" w14:textId="77777777" w:rsidR="00185922" w:rsidRDefault="00185922" w:rsidP="005F7A7A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048111C9" w14:textId="77777777" w:rsidR="00185922" w:rsidRDefault="00185922" w:rsidP="005F7A7A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589CCE6B" w14:textId="77777777" w:rsidR="00185922" w:rsidRDefault="00185922" w:rsidP="005F7A7A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03B2AC1F" w14:textId="77777777" w:rsidR="00185922" w:rsidRDefault="00185922" w:rsidP="005F7A7A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51F45A47" w14:textId="77777777" w:rsidR="00185922" w:rsidRDefault="00185922" w:rsidP="005F7A7A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520A66F0" w14:textId="77777777" w:rsidR="00185922" w:rsidRDefault="00185922" w:rsidP="005F7A7A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5E33FFE0" w14:textId="77777777" w:rsidR="00185922" w:rsidRDefault="00185922" w:rsidP="005F7A7A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1EBB36BD" w14:textId="77777777" w:rsidR="00112B48" w:rsidRDefault="00112B48" w:rsidP="005F7A7A">
      <w:pPr>
        <w:rPr>
          <w:rFonts w:ascii="Ravensbourne Sans" w:hAnsi="Ravensbourne Sans" w:cs="Arial"/>
          <w:color w:val="0070C0"/>
          <w:sz w:val="24"/>
          <w:szCs w:val="24"/>
        </w:rPr>
      </w:pPr>
    </w:p>
    <w:p w14:paraId="4FB30699" w14:textId="77777777" w:rsidR="00112B48" w:rsidRDefault="00112B48" w:rsidP="005F7A7A">
      <w:pPr>
        <w:rPr>
          <w:rFonts w:ascii="Ravensbourne Sans" w:hAnsi="Ravensbourne Sans" w:cs="Arial"/>
          <w:color w:val="0070C0"/>
          <w:sz w:val="24"/>
          <w:szCs w:val="24"/>
        </w:rPr>
      </w:pPr>
    </w:p>
    <w:p w14:paraId="3E6C29FA" w14:textId="77777777" w:rsidR="00112B48" w:rsidRDefault="00112B48" w:rsidP="005F7A7A">
      <w:pPr>
        <w:rPr>
          <w:rFonts w:ascii="Ravensbourne Sans" w:hAnsi="Ravensbourne Sans" w:cs="Arial"/>
          <w:color w:val="0070C0"/>
          <w:sz w:val="24"/>
          <w:szCs w:val="24"/>
        </w:rPr>
      </w:pPr>
    </w:p>
    <w:p w14:paraId="1ECCB512" w14:textId="77777777" w:rsidR="00112B48" w:rsidRDefault="00112B48" w:rsidP="005F7A7A">
      <w:pPr>
        <w:rPr>
          <w:rFonts w:ascii="Ravensbourne Sans" w:hAnsi="Ravensbourne Sans" w:cs="Arial"/>
          <w:color w:val="0070C0"/>
          <w:sz w:val="24"/>
          <w:szCs w:val="24"/>
        </w:rPr>
      </w:pPr>
    </w:p>
    <w:p w14:paraId="6B16E755" w14:textId="446A124E" w:rsidR="005F7A7A" w:rsidRDefault="00254DCA" w:rsidP="005F7A7A">
      <w:pPr>
        <w:rPr>
          <w:rFonts w:ascii="Ravensbourne Sans" w:hAnsi="Ravensbourne Sans" w:cs="Arial"/>
          <w:b/>
          <w:color w:val="0070C0"/>
          <w:sz w:val="24"/>
          <w:szCs w:val="24"/>
        </w:rPr>
      </w:pPr>
      <w:r w:rsidRPr="00185922">
        <w:rPr>
          <w:rFonts w:ascii="Ravensbourne Sans" w:hAnsi="Ravensbourne Sans" w:cs="Arial"/>
          <w:color w:val="0070C0"/>
          <w:sz w:val="24"/>
          <w:szCs w:val="24"/>
        </w:rPr>
        <w:lastRenderedPageBreak/>
        <w:t>4.4</w:t>
      </w:r>
      <w:r w:rsidR="005F7A7A" w:rsidRPr="00185922">
        <w:rPr>
          <w:rFonts w:ascii="Ravensbourne Sans" w:hAnsi="Ravensbourne Sans" w:cs="Arial"/>
          <w:color w:val="0070C0"/>
          <w:sz w:val="24"/>
          <w:szCs w:val="24"/>
        </w:rPr>
        <w:tab/>
      </w:r>
      <w:r w:rsidR="005F7A7A" w:rsidRPr="00185922">
        <w:rPr>
          <w:rFonts w:ascii="Ravensbourne Sans" w:hAnsi="Ravensbourne Sans" w:cs="Arial"/>
          <w:b/>
          <w:color w:val="0070C0"/>
          <w:sz w:val="24"/>
          <w:szCs w:val="24"/>
        </w:rPr>
        <w:t>Age</w:t>
      </w:r>
    </w:p>
    <w:p w14:paraId="289DC188" w14:textId="1665B535" w:rsidR="00753C69" w:rsidRPr="00753C69" w:rsidRDefault="00753C69" w:rsidP="00753C69">
      <w:pPr>
        <w:rPr>
          <w:rFonts w:ascii="Ravensbourne Sans" w:hAnsi="Ravensbourne Sans" w:cs="Arial"/>
          <w:color w:val="000000" w:themeColor="text1"/>
          <w:sz w:val="24"/>
          <w:szCs w:val="24"/>
        </w:rPr>
      </w:pPr>
      <w:r w:rsidRPr="00F677DD">
        <w:rPr>
          <w:rFonts w:ascii="Ravensbourne Sans" w:hAnsi="Ravensbourne Sans"/>
          <w:b/>
          <w:color w:val="17365D" w:themeColor="text2" w:themeShade="BF"/>
          <w:sz w:val="24"/>
          <w:szCs w:val="24"/>
        </w:rPr>
        <w:t xml:space="preserve">Chart </w:t>
      </w:r>
      <w:r>
        <w:rPr>
          <w:rFonts w:ascii="Ravensbourne Sans" w:hAnsi="Ravensbourne Sans"/>
          <w:b/>
          <w:color w:val="17365D" w:themeColor="text2" w:themeShade="BF"/>
          <w:sz w:val="24"/>
          <w:szCs w:val="24"/>
        </w:rPr>
        <w:t>19</w:t>
      </w:r>
    </w:p>
    <w:p w14:paraId="19E05454" w14:textId="1E5C010D" w:rsidR="00B9494F" w:rsidRDefault="0005638A" w:rsidP="005F7A7A">
      <w:pPr>
        <w:rPr>
          <w:rFonts w:ascii="Ravensbourne Sans" w:hAnsi="Ravensbourne Sans" w:cs="Arial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AA1030C" wp14:editId="6E8D1D64">
            <wp:extent cx="4315460" cy="2754351"/>
            <wp:effectExtent l="0" t="0" r="8890" b="825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E5452DF" w14:textId="35A32BFE" w:rsidR="00EE2058" w:rsidRPr="00DF1616" w:rsidRDefault="00EE2058" w:rsidP="00DF1616">
      <w:pPr>
        <w:spacing w:after="0"/>
        <w:rPr>
          <w:rFonts w:ascii="Ravensbourne Sans" w:hAnsi="Ravensbourne Sans" w:cs="Arial"/>
          <w:b/>
          <w:color w:val="000000" w:themeColor="text1"/>
          <w:sz w:val="24"/>
          <w:szCs w:val="24"/>
        </w:rPr>
      </w:pPr>
      <w:r w:rsidRPr="00EE2058">
        <w:rPr>
          <w:rFonts w:ascii="Ravensbourne Sans" w:hAnsi="Ravensbourne Sans" w:cs="Arial"/>
          <w:b/>
          <w:color w:val="000000" w:themeColor="text1"/>
          <w:sz w:val="24"/>
          <w:szCs w:val="24"/>
        </w:rPr>
        <w:t>Key Points</w:t>
      </w:r>
      <w:r w:rsidRPr="00DF1616">
        <w:rPr>
          <w:rFonts w:ascii="Ravensbourne Sans" w:hAnsi="Ravensbourne Sans" w:cs="Arial"/>
          <w:b/>
          <w:color w:val="000000" w:themeColor="text1"/>
          <w:sz w:val="24"/>
          <w:szCs w:val="24"/>
        </w:rPr>
        <w:t>:</w:t>
      </w:r>
    </w:p>
    <w:p w14:paraId="6645F466" w14:textId="1AE29A53" w:rsidR="00EE2058" w:rsidRPr="00DF1616" w:rsidRDefault="005F7A7A" w:rsidP="00DF1616">
      <w:pPr>
        <w:pStyle w:val="ListParagraph"/>
        <w:numPr>
          <w:ilvl w:val="0"/>
          <w:numId w:val="16"/>
        </w:numPr>
        <w:spacing w:after="0"/>
        <w:ind w:left="284" w:hanging="284"/>
        <w:rPr>
          <w:rFonts w:ascii="Ravensbourne Sans" w:hAnsi="Ravensbourne Sans" w:cs="Arial"/>
          <w:color w:val="000000" w:themeColor="text1"/>
          <w:sz w:val="24"/>
          <w:szCs w:val="24"/>
        </w:rPr>
      </w:pPr>
      <w:r w:rsidRPr="00DF1616">
        <w:rPr>
          <w:rFonts w:ascii="Ravensbourne Sans" w:hAnsi="Ravensbourne Sans" w:cs="Arial"/>
          <w:color w:val="000000" w:themeColor="text1"/>
          <w:sz w:val="24"/>
          <w:szCs w:val="24"/>
        </w:rPr>
        <w:t xml:space="preserve">Staff </w:t>
      </w:r>
      <w:r w:rsidR="00D1640F" w:rsidRPr="00DF1616">
        <w:rPr>
          <w:rFonts w:ascii="Ravensbourne Sans" w:hAnsi="Ravensbourne Sans" w:cs="Arial"/>
          <w:color w:val="000000" w:themeColor="text1"/>
          <w:sz w:val="24"/>
          <w:szCs w:val="24"/>
        </w:rPr>
        <w:t>were</w:t>
      </w:r>
      <w:r w:rsidRPr="00DF1616">
        <w:rPr>
          <w:rFonts w:ascii="Ravensbourne Sans" w:hAnsi="Ravensbourne Sans" w:cs="Arial"/>
          <w:color w:val="000000" w:themeColor="text1"/>
          <w:sz w:val="24"/>
          <w:szCs w:val="24"/>
        </w:rPr>
        <w:t xml:space="preserve"> employed across all five age brackets, with the highest proportion </w:t>
      </w:r>
      <w:r w:rsidR="00EE2058" w:rsidRPr="00DF1616">
        <w:rPr>
          <w:rFonts w:ascii="Ravensbourne Sans" w:hAnsi="Ravensbourne Sans" w:cs="Arial"/>
          <w:color w:val="000000" w:themeColor="text1"/>
          <w:sz w:val="24"/>
          <w:szCs w:val="24"/>
        </w:rPr>
        <w:t>with</w:t>
      </w:r>
      <w:r w:rsidRPr="00DF1616">
        <w:rPr>
          <w:rFonts w:ascii="Ravensbourne Sans" w:hAnsi="Ravensbourne Sans" w:cs="Arial"/>
          <w:color w:val="000000" w:themeColor="text1"/>
          <w:sz w:val="24"/>
          <w:szCs w:val="24"/>
        </w:rPr>
        <w:t>in the 31 – 40 bracket (3</w:t>
      </w:r>
      <w:r w:rsidR="00571736" w:rsidRPr="00DF1616">
        <w:rPr>
          <w:rFonts w:ascii="Ravensbourne Sans" w:hAnsi="Ravensbourne Sans" w:cs="Arial"/>
          <w:color w:val="000000" w:themeColor="text1"/>
          <w:sz w:val="24"/>
          <w:szCs w:val="24"/>
        </w:rPr>
        <w:t>1</w:t>
      </w:r>
      <w:r w:rsidRPr="00DF1616">
        <w:rPr>
          <w:rFonts w:ascii="Ravensbourne Sans" w:hAnsi="Ravensbourne Sans" w:cs="Arial"/>
          <w:color w:val="000000" w:themeColor="text1"/>
          <w:sz w:val="24"/>
          <w:szCs w:val="24"/>
        </w:rPr>
        <w:t>%)</w:t>
      </w:r>
      <w:r w:rsidR="00EE2058" w:rsidRPr="00DF1616">
        <w:rPr>
          <w:rFonts w:ascii="Ravensbourne Sans" w:hAnsi="Ravensbourne Sans" w:cs="Arial"/>
          <w:color w:val="000000" w:themeColor="text1"/>
          <w:sz w:val="24"/>
          <w:szCs w:val="24"/>
        </w:rPr>
        <w:t xml:space="preserve"> over the last 3 years</w:t>
      </w:r>
      <w:r w:rsidR="00B9494F" w:rsidRPr="00DF1616">
        <w:rPr>
          <w:rFonts w:ascii="Ravensbourne Sans" w:hAnsi="Ravensbourne Sans" w:cs="Arial"/>
          <w:color w:val="000000" w:themeColor="text1"/>
          <w:sz w:val="24"/>
          <w:szCs w:val="24"/>
        </w:rPr>
        <w:t xml:space="preserve"> </w:t>
      </w:r>
    </w:p>
    <w:p w14:paraId="325A8791" w14:textId="5DC3DBA5" w:rsidR="00EE2058" w:rsidRPr="006A3C66" w:rsidRDefault="00EE2058" w:rsidP="00DF1616">
      <w:pPr>
        <w:pStyle w:val="ListParagraph"/>
        <w:numPr>
          <w:ilvl w:val="0"/>
          <w:numId w:val="13"/>
        </w:numPr>
        <w:ind w:left="284" w:hanging="284"/>
        <w:rPr>
          <w:rFonts w:ascii="Ravensbourne Sans" w:hAnsi="Ravensbourne Sans" w:cs="Arial"/>
          <w:color w:val="000000" w:themeColor="text1"/>
          <w:sz w:val="24"/>
          <w:szCs w:val="24"/>
        </w:rPr>
      </w:pPr>
      <w:r w:rsidRPr="006A3C66">
        <w:rPr>
          <w:rFonts w:ascii="Ravensbourne Sans" w:hAnsi="Ravensbourne Sans" w:cs="Arial"/>
          <w:color w:val="000000" w:themeColor="text1"/>
          <w:sz w:val="24"/>
          <w:szCs w:val="24"/>
        </w:rPr>
        <w:t>Whilst we have not experienced significant number</w:t>
      </w:r>
      <w:r w:rsidR="00EA0853">
        <w:rPr>
          <w:rFonts w:ascii="Ravensbourne Sans" w:hAnsi="Ravensbourne Sans" w:cs="Arial"/>
          <w:color w:val="000000" w:themeColor="text1"/>
          <w:sz w:val="24"/>
          <w:szCs w:val="24"/>
        </w:rPr>
        <w:t>s</w:t>
      </w:r>
      <w:r w:rsidRPr="006A3C66">
        <w:rPr>
          <w:rFonts w:ascii="Ravensbourne Sans" w:hAnsi="Ravensbourne Sans" w:cs="Arial"/>
          <w:color w:val="000000" w:themeColor="text1"/>
          <w:sz w:val="24"/>
          <w:szCs w:val="24"/>
        </w:rPr>
        <w:t xml:space="preserve"> of staff seeking to retire over the last 3 years, we </w:t>
      </w:r>
      <w:r w:rsidR="00EA0853">
        <w:rPr>
          <w:rFonts w:ascii="Ravensbourne Sans" w:hAnsi="Ravensbourne Sans" w:cs="Arial"/>
          <w:color w:val="000000" w:themeColor="text1"/>
          <w:sz w:val="24"/>
          <w:szCs w:val="24"/>
        </w:rPr>
        <w:t xml:space="preserve">did </w:t>
      </w:r>
      <w:r w:rsidR="00A21796">
        <w:rPr>
          <w:rFonts w:ascii="Ravensbourne Sans" w:hAnsi="Ravensbourne Sans" w:cs="Arial"/>
          <w:color w:val="000000" w:themeColor="text1"/>
          <w:sz w:val="24"/>
          <w:szCs w:val="24"/>
        </w:rPr>
        <w:t xml:space="preserve">organise </w:t>
      </w:r>
      <w:r w:rsidR="006A3C66" w:rsidRPr="006A3C66">
        <w:rPr>
          <w:rFonts w:ascii="Ravensbourne Sans" w:hAnsi="Ravensbourne Sans" w:cs="Arial"/>
          <w:color w:val="000000" w:themeColor="text1"/>
          <w:sz w:val="24"/>
          <w:szCs w:val="24"/>
        </w:rPr>
        <w:t xml:space="preserve">an </w:t>
      </w:r>
      <w:r w:rsidRPr="006A3C66">
        <w:rPr>
          <w:rFonts w:ascii="Ravensbourne Sans" w:hAnsi="Ravensbourne Sans" w:cs="Arial"/>
          <w:color w:val="000000" w:themeColor="text1"/>
          <w:sz w:val="24"/>
          <w:szCs w:val="24"/>
        </w:rPr>
        <w:t xml:space="preserve">externally facilitated </w:t>
      </w:r>
      <w:r w:rsidR="002C1362">
        <w:rPr>
          <w:rFonts w:ascii="Ravensbourne Sans" w:hAnsi="Ravensbourne Sans" w:cs="Arial"/>
          <w:color w:val="000000" w:themeColor="text1"/>
          <w:sz w:val="24"/>
          <w:szCs w:val="24"/>
        </w:rPr>
        <w:t>workshop</w:t>
      </w:r>
      <w:r w:rsidR="00A21796">
        <w:rPr>
          <w:rFonts w:ascii="Ravensbourne Sans" w:hAnsi="Ravensbourne Sans" w:cs="Arial"/>
          <w:color w:val="000000" w:themeColor="text1"/>
          <w:sz w:val="24"/>
          <w:szCs w:val="24"/>
        </w:rPr>
        <w:t xml:space="preserve">, </w:t>
      </w:r>
      <w:r w:rsidR="006A3C66" w:rsidRPr="006A3C66">
        <w:rPr>
          <w:rFonts w:ascii="Ravensbourne Sans" w:hAnsi="Ravensbourne Sans" w:cs="Arial"/>
          <w:color w:val="000000" w:themeColor="text1"/>
          <w:sz w:val="24"/>
          <w:szCs w:val="24"/>
        </w:rPr>
        <w:t>aimed at colleagues who may be seeking to r</w:t>
      </w:r>
      <w:r w:rsidR="006A3C66">
        <w:rPr>
          <w:rFonts w:ascii="Ravensbourne Sans" w:hAnsi="Ravensbourne Sans" w:cs="Arial"/>
          <w:color w:val="000000" w:themeColor="text1"/>
          <w:sz w:val="24"/>
          <w:szCs w:val="24"/>
        </w:rPr>
        <w:t xml:space="preserve">etire within the next </w:t>
      </w:r>
      <w:r w:rsidR="00A21796">
        <w:rPr>
          <w:rFonts w:ascii="Ravensbourne Sans" w:hAnsi="Ravensbourne Sans" w:cs="Arial"/>
          <w:color w:val="000000" w:themeColor="text1"/>
          <w:sz w:val="24"/>
          <w:szCs w:val="24"/>
        </w:rPr>
        <w:t>5</w:t>
      </w:r>
      <w:r w:rsidR="006A3C66">
        <w:rPr>
          <w:rFonts w:ascii="Ravensbourne Sans" w:hAnsi="Ravensbourne Sans" w:cs="Arial"/>
          <w:color w:val="000000" w:themeColor="text1"/>
          <w:sz w:val="24"/>
          <w:szCs w:val="24"/>
        </w:rPr>
        <w:t xml:space="preserve"> years</w:t>
      </w:r>
    </w:p>
    <w:p w14:paraId="7CE92FBA" w14:textId="00FDC629" w:rsidR="0012653A" w:rsidRDefault="0012653A" w:rsidP="00F23F7E">
      <w:pPr>
        <w:pStyle w:val="ListParagraph"/>
        <w:numPr>
          <w:ilvl w:val="0"/>
          <w:numId w:val="13"/>
        </w:numPr>
        <w:ind w:left="284" w:firstLine="0"/>
        <w:rPr>
          <w:rFonts w:ascii="Ravensbourne Sans" w:hAnsi="Ravensbourne Sans" w:cs="Arial"/>
          <w:color w:val="000000" w:themeColor="text1"/>
          <w:sz w:val="24"/>
          <w:szCs w:val="24"/>
        </w:rPr>
        <w:sectPr w:rsidR="0012653A" w:rsidSect="00753C69">
          <w:type w:val="continuous"/>
          <w:pgSz w:w="16838" w:h="11906" w:orient="landscape"/>
          <w:pgMar w:top="1440" w:right="1440" w:bottom="425" w:left="1440" w:header="709" w:footer="709" w:gutter="0"/>
          <w:cols w:num="2" w:space="708"/>
          <w:docGrid w:linePitch="360"/>
        </w:sectPr>
      </w:pPr>
    </w:p>
    <w:p w14:paraId="07BC9424" w14:textId="40E97F4F" w:rsidR="00FD33B6" w:rsidRPr="00185922" w:rsidRDefault="002430D5" w:rsidP="00FD33B6">
      <w:pPr>
        <w:rPr>
          <w:rFonts w:ascii="Ravensbourne Sans" w:hAnsi="Ravensbourne Sans"/>
          <w:b/>
          <w:color w:val="0070C0"/>
          <w:sz w:val="24"/>
          <w:szCs w:val="24"/>
        </w:rPr>
      </w:pPr>
      <w:r w:rsidRPr="00185922">
        <w:rPr>
          <w:rFonts w:ascii="Ravensbourne Sans" w:hAnsi="Ravensbourne Sans"/>
          <w:color w:val="0070C0"/>
          <w:sz w:val="24"/>
          <w:szCs w:val="24"/>
        </w:rPr>
        <w:lastRenderedPageBreak/>
        <w:t>4.5</w:t>
      </w:r>
      <w:r w:rsidR="00FD33B6" w:rsidRPr="00185922">
        <w:rPr>
          <w:rFonts w:ascii="Ravensbourne Sans" w:hAnsi="Ravensbourne Sans"/>
          <w:color w:val="0070C0"/>
          <w:sz w:val="24"/>
          <w:szCs w:val="24"/>
        </w:rPr>
        <w:tab/>
        <w:t xml:space="preserve"> </w:t>
      </w:r>
      <w:r w:rsidR="00FD33B6" w:rsidRPr="00185922">
        <w:rPr>
          <w:rFonts w:ascii="Ravensbourne Sans" w:hAnsi="Ravensbourne Sans"/>
          <w:b/>
          <w:color w:val="0070C0"/>
          <w:sz w:val="24"/>
          <w:szCs w:val="24"/>
        </w:rPr>
        <w:t>External-facing Activities</w:t>
      </w:r>
    </w:p>
    <w:p w14:paraId="187F2CE9" w14:textId="69CB74B7" w:rsidR="003A6BD4" w:rsidRDefault="003A6BD4" w:rsidP="00FD33B6">
      <w:pPr>
        <w:pStyle w:val="BodyText"/>
        <w:rPr>
          <w:rFonts w:ascii="Ravensbourne Sans" w:hAnsi="Ravensbourne Sans" w:cs="Arial"/>
          <w:color w:val="212121"/>
          <w:szCs w:val="24"/>
          <w:shd w:val="clear" w:color="auto" w:fill="FFFFFF"/>
        </w:rPr>
      </w:pPr>
      <w:r w:rsidRPr="003A6BD4">
        <w:rPr>
          <w:rFonts w:ascii="Ravensbourne Sans" w:hAnsi="Ravensbourne Sans" w:cs="Arial"/>
          <w:color w:val="212121"/>
          <w:szCs w:val="24"/>
          <w:shd w:val="clear" w:color="auto" w:fill="FFFFFF"/>
        </w:rPr>
        <w:t xml:space="preserve">Proactive </w:t>
      </w:r>
      <w:r w:rsidR="00E1059E">
        <w:rPr>
          <w:rFonts w:ascii="Ravensbourne Sans" w:hAnsi="Ravensbourne Sans" w:cs="Arial"/>
          <w:color w:val="212121"/>
          <w:szCs w:val="24"/>
          <w:shd w:val="clear" w:color="auto" w:fill="FFFFFF"/>
        </w:rPr>
        <w:t xml:space="preserve">HR </w:t>
      </w:r>
      <w:r w:rsidRPr="003A6BD4">
        <w:rPr>
          <w:rFonts w:ascii="Ravensbourne Sans" w:hAnsi="Ravensbourne Sans" w:cs="Arial"/>
          <w:color w:val="212121"/>
          <w:szCs w:val="24"/>
          <w:shd w:val="clear" w:color="auto" w:fill="FFFFFF"/>
        </w:rPr>
        <w:t>engagement with the ECU (Equa</w:t>
      </w:r>
      <w:r>
        <w:rPr>
          <w:rFonts w:ascii="Ravensbourne Sans" w:hAnsi="Ravensbourne Sans" w:cs="Arial"/>
          <w:color w:val="212121"/>
          <w:szCs w:val="24"/>
          <w:shd w:val="clear" w:color="auto" w:fill="FFFFFF"/>
        </w:rPr>
        <w:t xml:space="preserve">lity Challenge Unit): </w:t>
      </w:r>
    </w:p>
    <w:p w14:paraId="14779377" w14:textId="77777777" w:rsidR="003A6BD4" w:rsidRDefault="003A6BD4" w:rsidP="00FD33B6">
      <w:pPr>
        <w:pStyle w:val="BodyText"/>
        <w:rPr>
          <w:rFonts w:ascii="Ravensbourne Sans" w:hAnsi="Ravensbourne Sans" w:cs="Arial"/>
          <w:color w:val="212121"/>
          <w:szCs w:val="24"/>
          <w:shd w:val="clear" w:color="auto" w:fill="FFFFFF"/>
        </w:rPr>
      </w:pPr>
    </w:p>
    <w:p w14:paraId="11953F97" w14:textId="33E1079C" w:rsidR="00DD72FA" w:rsidRPr="006915BA" w:rsidRDefault="003A6BD4" w:rsidP="003E37DB">
      <w:pPr>
        <w:pStyle w:val="BodyText"/>
        <w:numPr>
          <w:ilvl w:val="0"/>
          <w:numId w:val="20"/>
        </w:numPr>
        <w:rPr>
          <w:rFonts w:ascii="Calibri" w:hAnsi="Calibri" w:cs="Calibri"/>
          <w:color w:val="212121"/>
          <w:szCs w:val="24"/>
          <w:shd w:val="clear" w:color="auto" w:fill="FFFFFF"/>
        </w:rPr>
      </w:pPr>
      <w:r>
        <w:rPr>
          <w:rFonts w:ascii="Ravensbourne Sans" w:hAnsi="Ravensbourne Sans" w:cs="Arial"/>
          <w:color w:val="212121"/>
          <w:szCs w:val="24"/>
          <w:shd w:val="clear" w:color="auto" w:fill="FFFFFF"/>
        </w:rPr>
        <w:t xml:space="preserve">Athena SWAN </w:t>
      </w:r>
      <w:r w:rsidR="00836C17">
        <w:rPr>
          <w:rFonts w:ascii="Ravensbourne Sans" w:hAnsi="Ravensbourne Sans" w:cs="Arial"/>
          <w:color w:val="212121"/>
          <w:szCs w:val="24"/>
          <w:shd w:val="clear" w:color="auto" w:fill="FFFFFF"/>
        </w:rPr>
        <w:t xml:space="preserve">assessment </w:t>
      </w:r>
      <w:r>
        <w:rPr>
          <w:rFonts w:ascii="Ravensbourne Sans" w:hAnsi="Ravensbourne Sans" w:cs="Arial"/>
          <w:color w:val="212121"/>
          <w:szCs w:val="24"/>
          <w:shd w:val="clear" w:color="auto" w:fill="FFFFFF"/>
        </w:rPr>
        <w:t>pan</w:t>
      </w:r>
      <w:r w:rsidR="00836C17">
        <w:rPr>
          <w:rFonts w:ascii="Ravensbourne Sans" w:hAnsi="Ravensbourne Sans" w:cs="Arial"/>
          <w:color w:val="212121"/>
          <w:szCs w:val="24"/>
          <w:shd w:val="clear" w:color="auto" w:fill="FFFFFF"/>
        </w:rPr>
        <w:t xml:space="preserve">elist for a round of </w:t>
      </w:r>
      <w:r w:rsidR="003E37DB">
        <w:rPr>
          <w:rFonts w:ascii="Ravensbourne Sans" w:hAnsi="Ravensbourne Sans" w:cs="Arial"/>
          <w:color w:val="212121"/>
          <w:szCs w:val="24"/>
          <w:shd w:val="clear" w:color="auto" w:fill="FFFFFF"/>
        </w:rPr>
        <w:t xml:space="preserve">individual </w:t>
      </w:r>
      <w:r w:rsidR="00836C17">
        <w:rPr>
          <w:rFonts w:ascii="Ravensbourne Sans" w:hAnsi="Ravensbourne Sans" w:cs="Arial"/>
          <w:color w:val="212121"/>
          <w:szCs w:val="24"/>
          <w:shd w:val="clear" w:color="auto" w:fill="FFFFFF"/>
        </w:rPr>
        <w:t xml:space="preserve">university applications seeking to achieve </w:t>
      </w:r>
      <w:r w:rsidR="00E1059E">
        <w:rPr>
          <w:rFonts w:ascii="Ravensbourne Sans" w:hAnsi="Ravensbourne Sans" w:cs="Arial"/>
          <w:color w:val="212121"/>
          <w:szCs w:val="24"/>
          <w:shd w:val="clear" w:color="auto" w:fill="FFFFFF"/>
        </w:rPr>
        <w:t>recognition</w:t>
      </w:r>
      <w:r w:rsidR="00C3365B">
        <w:rPr>
          <w:rFonts w:ascii="Ravensbourne Sans" w:hAnsi="Ravensbourne Sans" w:cs="Arial"/>
          <w:color w:val="212121"/>
          <w:szCs w:val="24"/>
          <w:shd w:val="clear" w:color="auto" w:fill="FFFFFF"/>
        </w:rPr>
        <w:t xml:space="preserve"> for the work they have undertaken to both encourage and recognize </w:t>
      </w:r>
      <w:r w:rsidR="00F82046">
        <w:rPr>
          <w:rFonts w:ascii="Ravensbourne Sans" w:hAnsi="Ravensbourne Sans" w:cs="Arial"/>
          <w:color w:val="212121"/>
          <w:szCs w:val="24"/>
          <w:shd w:val="clear" w:color="auto" w:fill="FFFFFF"/>
        </w:rPr>
        <w:t xml:space="preserve">departmental </w:t>
      </w:r>
      <w:r w:rsidR="00C3365B">
        <w:rPr>
          <w:rFonts w:ascii="Ravensbourne Sans" w:hAnsi="Ravensbourne Sans" w:cs="Arial"/>
          <w:color w:val="212121"/>
          <w:szCs w:val="24"/>
          <w:shd w:val="clear" w:color="auto" w:fill="FFFFFF"/>
        </w:rPr>
        <w:t xml:space="preserve">commitment to advancing the careers of women in science, technology, engineering, maths and medicine (STEMM) </w:t>
      </w:r>
      <w:r w:rsidR="00F82046">
        <w:rPr>
          <w:rFonts w:ascii="Ravensbourne Sans" w:hAnsi="Ravensbourne Sans" w:cs="Arial"/>
          <w:color w:val="212121"/>
          <w:szCs w:val="24"/>
          <w:shd w:val="clear" w:color="auto" w:fill="FFFFFF"/>
        </w:rPr>
        <w:t>employment in higher education and research</w:t>
      </w:r>
      <w:r w:rsidR="00E1059E">
        <w:rPr>
          <w:rFonts w:ascii="Ravensbourne Sans" w:hAnsi="Ravensbourne Sans" w:cs="Arial"/>
          <w:color w:val="212121"/>
          <w:szCs w:val="24"/>
          <w:shd w:val="clear" w:color="auto" w:fill="FFFFFF"/>
        </w:rPr>
        <w:t xml:space="preserve"> </w:t>
      </w:r>
      <w:r w:rsidR="00836C17">
        <w:rPr>
          <w:rFonts w:ascii="Ravensbourne Sans" w:hAnsi="Ravensbourne Sans" w:cs="Arial"/>
          <w:color w:val="212121"/>
          <w:szCs w:val="24"/>
          <w:shd w:val="clear" w:color="auto" w:fill="FFFFFF"/>
        </w:rPr>
        <w:t xml:space="preserve"> </w:t>
      </w:r>
    </w:p>
    <w:p w14:paraId="23836EEA" w14:textId="77777777" w:rsidR="00DD72FA" w:rsidRPr="00DD72FA" w:rsidRDefault="00DD72FA" w:rsidP="00FD33B6">
      <w:pPr>
        <w:pStyle w:val="BodyText"/>
        <w:rPr>
          <w:rFonts w:ascii="Calibri" w:hAnsi="Calibri" w:cs="Calibri"/>
          <w:color w:val="212121"/>
          <w:szCs w:val="24"/>
          <w:shd w:val="clear" w:color="auto" w:fill="FFFFFF"/>
        </w:rPr>
      </w:pPr>
    </w:p>
    <w:p w14:paraId="208CC421" w14:textId="2958F0DE" w:rsidR="00FD33B6" w:rsidRPr="00185922" w:rsidRDefault="00DF0D48" w:rsidP="00FD33B6">
      <w:pPr>
        <w:rPr>
          <w:rFonts w:ascii="Ravensbourne Sans" w:hAnsi="Ravensbourne Sans" w:cs="Arial"/>
          <w:b/>
          <w:color w:val="0070C0"/>
          <w:sz w:val="24"/>
          <w:szCs w:val="24"/>
        </w:rPr>
      </w:pPr>
      <w:r w:rsidRPr="00185922">
        <w:rPr>
          <w:rFonts w:ascii="Ravensbourne Sans" w:hAnsi="Ravensbourne Sans" w:cs="Arial"/>
          <w:color w:val="0070C0"/>
          <w:sz w:val="24"/>
          <w:szCs w:val="24"/>
        </w:rPr>
        <w:t>4.6</w:t>
      </w:r>
      <w:r w:rsidR="000D0B54" w:rsidRPr="00185922">
        <w:rPr>
          <w:rFonts w:ascii="Ravensbourne Sans" w:hAnsi="Ravensbourne Sans" w:cs="Arial"/>
          <w:b/>
          <w:color w:val="0070C0"/>
          <w:sz w:val="24"/>
          <w:szCs w:val="24"/>
        </w:rPr>
        <w:tab/>
        <w:t xml:space="preserve"> </w:t>
      </w:r>
      <w:r w:rsidRPr="00185922">
        <w:rPr>
          <w:rFonts w:ascii="Ravensbourne Sans" w:hAnsi="Ravensbourne Sans" w:cs="Arial"/>
          <w:b/>
          <w:color w:val="0070C0"/>
          <w:sz w:val="24"/>
          <w:szCs w:val="24"/>
        </w:rPr>
        <w:t>Priorities</w:t>
      </w:r>
      <w:r w:rsidR="005D57C4" w:rsidRPr="00185922">
        <w:rPr>
          <w:rFonts w:ascii="Ravensbourne Sans" w:hAnsi="Ravensbourne Sans" w:cs="Arial"/>
          <w:b/>
          <w:color w:val="0070C0"/>
          <w:sz w:val="24"/>
          <w:szCs w:val="24"/>
        </w:rPr>
        <w:t xml:space="preserve"> for 2017/18</w:t>
      </w:r>
      <w:r w:rsidR="00B67828" w:rsidRPr="00185922">
        <w:rPr>
          <w:rFonts w:ascii="Ravensbourne Sans" w:hAnsi="Ravensbourne Sans" w:cs="Arial"/>
          <w:b/>
          <w:color w:val="0070C0"/>
          <w:sz w:val="24"/>
          <w:szCs w:val="24"/>
        </w:rPr>
        <w:t xml:space="preserve"> and Areas for on-going Improvement </w:t>
      </w:r>
    </w:p>
    <w:p w14:paraId="37C166DC" w14:textId="4D37ABDE" w:rsidR="00C673C0" w:rsidRDefault="00C673C0" w:rsidP="00152BFE">
      <w:pPr>
        <w:rPr>
          <w:rFonts w:ascii="Ravensbourne Sans" w:hAnsi="Ravensbourne Sans" w:cs="Arial"/>
          <w:color w:val="000000" w:themeColor="text1"/>
          <w:sz w:val="24"/>
          <w:szCs w:val="24"/>
        </w:rPr>
      </w:pPr>
      <w:r>
        <w:rPr>
          <w:rFonts w:ascii="Ravensbourne Sans" w:hAnsi="Ravensbourne Sans" w:cs="Arial"/>
          <w:color w:val="000000" w:themeColor="text1"/>
          <w:sz w:val="24"/>
          <w:szCs w:val="24"/>
        </w:rPr>
        <w:t xml:space="preserve">Aside from our statutory obligations: </w:t>
      </w:r>
    </w:p>
    <w:p w14:paraId="7E8717FD" w14:textId="57049F25" w:rsidR="003079A6" w:rsidRDefault="001E66AF" w:rsidP="00BC6A06">
      <w:pPr>
        <w:pStyle w:val="ListParagraph"/>
        <w:numPr>
          <w:ilvl w:val="0"/>
          <w:numId w:val="18"/>
        </w:numPr>
        <w:rPr>
          <w:rFonts w:ascii="Ravensbourne Sans" w:hAnsi="Ravensbourne Sans" w:cs="Arial"/>
          <w:color w:val="000000" w:themeColor="text1"/>
          <w:sz w:val="24"/>
          <w:szCs w:val="24"/>
        </w:rPr>
      </w:pPr>
      <w:r w:rsidRPr="00BC6A06">
        <w:rPr>
          <w:rFonts w:ascii="Ravensbourne Sans" w:hAnsi="Ravensbourne Sans" w:cs="Arial"/>
          <w:color w:val="000000" w:themeColor="text1"/>
          <w:sz w:val="24"/>
          <w:szCs w:val="24"/>
        </w:rPr>
        <w:t>Refocus efforts around increasing the pool of BAME applicant</w:t>
      </w:r>
      <w:r w:rsidR="0001107C">
        <w:rPr>
          <w:rFonts w:ascii="Ravensbourne Sans" w:hAnsi="Ravensbourne Sans" w:cs="Arial"/>
          <w:color w:val="000000" w:themeColor="text1"/>
          <w:sz w:val="24"/>
          <w:szCs w:val="24"/>
        </w:rPr>
        <w:t>s for academic roles; consider</w:t>
      </w:r>
      <w:r w:rsidRPr="00BC6A06">
        <w:rPr>
          <w:rFonts w:ascii="Ravensbourne Sans" w:hAnsi="Ravensbourne Sans" w:cs="Arial"/>
          <w:color w:val="000000" w:themeColor="text1"/>
          <w:sz w:val="24"/>
          <w:szCs w:val="24"/>
        </w:rPr>
        <w:t xml:space="preserve"> use of hea</w:t>
      </w:r>
      <w:r w:rsidR="0001107C">
        <w:rPr>
          <w:rFonts w:ascii="Ravensbourne Sans" w:hAnsi="Ravensbourne Sans" w:cs="Arial"/>
          <w:color w:val="000000" w:themeColor="text1"/>
          <w:sz w:val="24"/>
          <w:szCs w:val="24"/>
        </w:rPr>
        <w:t xml:space="preserve">d hunters for recruitment to </w:t>
      </w:r>
      <w:r w:rsidRPr="00BC6A06">
        <w:rPr>
          <w:rFonts w:ascii="Ravensbourne Sans" w:hAnsi="Ravensbourne Sans" w:cs="Arial"/>
          <w:color w:val="000000" w:themeColor="text1"/>
          <w:sz w:val="24"/>
          <w:szCs w:val="24"/>
        </w:rPr>
        <w:t xml:space="preserve">key </w:t>
      </w:r>
      <w:r w:rsidR="0001107C">
        <w:rPr>
          <w:rFonts w:ascii="Ravensbourne Sans" w:hAnsi="Ravensbourne Sans" w:cs="Arial"/>
          <w:color w:val="000000" w:themeColor="text1"/>
          <w:sz w:val="24"/>
          <w:szCs w:val="24"/>
        </w:rPr>
        <w:t xml:space="preserve">academic roles </w:t>
      </w:r>
    </w:p>
    <w:p w14:paraId="61D6B3E1" w14:textId="172288A0" w:rsidR="00C673C0" w:rsidRPr="00BC6A06" w:rsidRDefault="003079A6" w:rsidP="00BC6A06">
      <w:pPr>
        <w:pStyle w:val="ListParagraph"/>
        <w:numPr>
          <w:ilvl w:val="0"/>
          <w:numId w:val="18"/>
        </w:numPr>
        <w:rPr>
          <w:rFonts w:ascii="Ravensbourne Sans" w:hAnsi="Ravensbourne Sans" w:cs="Arial"/>
          <w:color w:val="000000" w:themeColor="text1"/>
          <w:sz w:val="24"/>
          <w:szCs w:val="24"/>
        </w:rPr>
      </w:pPr>
      <w:r>
        <w:rPr>
          <w:rFonts w:ascii="Ravensbourne Sans" w:hAnsi="Ravensbourne Sans" w:cs="Arial"/>
          <w:color w:val="000000" w:themeColor="text1"/>
          <w:sz w:val="24"/>
          <w:szCs w:val="24"/>
        </w:rPr>
        <w:t>The same action should be considered in relation to female academic</w:t>
      </w:r>
      <w:r w:rsidR="00DF31EC">
        <w:rPr>
          <w:rFonts w:ascii="Ravensbourne Sans" w:hAnsi="Ravensbourne Sans" w:cs="Arial"/>
          <w:color w:val="000000" w:themeColor="text1"/>
          <w:sz w:val="24"/>
          <w:szCs w:val="24"/>
        </w:rPr>
        <w:t xml:space="preserve"> staffing where appropriate</w:t>
      </w:r>
    </w:p>
    <w:p w14:paraId="6E2B8999" w14:textId="4C0243FB" w:rsidR="0052108E" w:rsidRPr="00BC6A06" w:rsidRDefault="00C673C0" w:rsidP="00BC6A06">
      <w:pPr>
        <w:pStyle w:val="ListParagraph"/>
        <w:numPr>
          <w:ilvl w:val="0"/>
          <w:numId w:val="18"/>
        </w:numPr>
        <w:rPr>
          <w:rFonts w:ascii="Ravensbourne Sans" w:hAnsi="Ravensbourne Sans" w:cs="Arial"/>
          <w:color w:val="000000" w:themeColor="text1"/>
          <w:sz w:val="24"/>
          <w:szCs w:val="24"/>
        </w:rPr>
      </w:pPr>
      <w:r w:rsidRPr="00BC6A06">
        <w:rPr>
          <w:rFonts w:ascii="Ravensbourne Sans" w:hAnsi="Ravensbourne Sans" w:cs="Arial"/>
          <w:color w:val="000000" w:themeColor="text1"/>
          <w:sz w:val="24"/>
          <w:szCs w:val="24"/>
        </w:rPr>
        <w:t xml:space="preserve">Examine the criteria for attainment of the Disability Confident Scheme, Level 3. The Scheme consists of three levels: </w:t>
      </w:r>
      <w:r w:rsidR="0052108E" w:rsidRPr="00BC6A06">
        <w:rPr>
          <w:rFonts w:ascii="Ravensbourne Sans" w:hAnsi="Ravensbourne Sans" w:cs="Arial"/>
          <w:color w:val="000000" w:themeColor="text1"/>
          <w:sz w:val="24"/>
          <w:szCs w:val="24"/>
        </w:rPr>
        <w:t>Disability Confident Committed (Level 1)</w:t>
      </w:r>
      <w:r w:rsidRPr="00BC6A06">
        <w:rPr>
          <w:rFonts w:ascii="Ravensbourne Sans" w:hAnsi="Ravensbourne Sans" w:cs="Arial"/>
          <w:color w:val="000000" w:themeColor="text1"/>
          <w:sz w:val="24"/>
          <w:szCs w:val="24"/>
        </w:rPr>
        <w:t>;</w:t>
      </w:r>
      <w:r w:rsidR="0052108E" w:rsidRPr="00BC6A06">
        <w:rPr>
          <w:rFonts w:ascii="Ravensbourne Sans" w:hAnsi="Ravensbourne Sans" w:cs="Arial"/>
          <w:color w:val="000000" w:themeColor="text1"/>
          <w:sz w:val="24"/>
          <w:szCs w:val="24"/>
        </w:rPr>
        <w:t xml:space="preserve"> Disability Confident Employer (Level 2)</w:t>
      </w:r>
      <w:r w:rsidRPr="00BC6A06">
        <w:rPr>
          <w:rFonts w:ascii="Ravensbourne Sans" w:hAnsi="Ravensbourne Sans" w:cs="Arial"/>
          <w:color w:val="000000" w:themeColor="text1"/>
          <w:sz w:val="24"/>
          <w:szCs w:val="24"/>
        </w:rPr>
        <w:t>;</w:t>
      </w:r>
      <w:r w:rsidR="0052108E" w:rsidRPr="00BC6A06">
        <w:rPr>
          <w:rFonts w:ascii="Ravensbourne Sans" w:hAnsi="Ravensbourne Sans" w:cs="Arial"/>
          <w:color w:val="000000" w:themeColor="text1"/>
          <w:sz w:val="24"/>
          <w:szCs w:val="24"/>
        </w:rPr>
        <w:t xml:space="preserve"> and Disabi</w:t>
      </w:r>
      <w:r w:rsidR="003079A6">
        <w:rPr>
          <w:rFonts w:ascii="Ravensbourne Sans" w:hAnsi="Ravensbourne Sans" w:cs="Arial"/>
          <w:color w:val="000000" w:themeColor="text1"/>
          <w:sz w:val="24"/>
          <w:szCs w:val="24"/>
        </w:rPr>
        <w:t>lity Confident Leader (Level 3)</w:t>
      </w:r>
      <w:r w:rsidR="0052108E" w:rsidRPr="00BC6A06">
        <w:rPr>
          <w:rFonts w:ascii="Ravensbourne Sans" w:hAnsi="Ravensbourne Sans" w:cs="Arial"/>
          <w:color w:val="000000" w:themeColor="text1"/>
          <w:sz w:val="24"/>
          <w:szCs w:val="24"/>
        </w:rPr>
        <w:t xml:space="preserve"> </w:t>
      </w:r>
    </w:p>
    <w:p w14:paraId="5E773E67" w14:textId="60145B31" w:rsidR="00152BFE" w:rsidRDefault="00152BFE" w:rsidP="00152BFE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p w14:paraId="07FB5A6B" w14:textId="3093FB3A" w:rsidR="00152BFE" w:rsidRPr="00152BFE" w:rsidRDefault="00152BFE" w:rsidP="00152BFE">
      <w:pPr>
        <w:rPr>
          <w:rFonts w:ascii="Ravensbourne Sans" w:hAnsi="Ravensbourne Sans" w:cs="Arial"/>
          <w:color w:val="000000" w:themeColor="text1"/>
          <w:sz w:val="24"/>
          <w:szCs w:val="24"/>
        </w:rPr>
      </w:pPr>
    </w:p>
    <w:sectPr w:rsidR="00152BFE" w:rsidRPr="00152BFE" w:rsidSect="001265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720DE" w14:textId="77777777" w:rsidR="00902163" w:rsidRDefault="008D3557">
      <w:pPr>
        <w:spacing w:after="0" w:line="240" w:lineRule="auto"/>
      </w:pPr>
      <w:r>
        <w:separator/>
      </w:r>
    </w:p>
  </w:endnote>
  <w:endnote w:type="continuationSeparator" w:id="0">
    <w:p w14:paraId="5944DD93" w14:textId="77777777" w:rsidR="00902163" w:rsidRDefault="008D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ensbourne Sans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075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FF2764" w14:textId="431370AA" w:rsidR="004D35B8" w:rsidRDefault="00451F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AF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496DA82" w14:textId="77777777" w:rsidR="004D35B8" w:rsidRDefault="00DF1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CAE7D" w14:textId="77777777" w:rsidR="00902163" w:rsidRDefault="008D3557">
      <w:pPr>
        <w:spacing w:after="0" w:line="240" w:lineRule="auto"/>
      </w:pPr>
      <w:r>
        <w:separator/>
      </w:r>
    </w:p>
  </w:footnote>
  <w:footnote w:type="continuationSeparator" w:id="0">
    <w:p w14:paraId="1CD35CB0" w14:textId="77777777" w:rsidR="00902163" w:rsidRDefault="008D3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7D1"/>
    <w:multiLevelType w:val="hybridMultilevel"/>
    <w:tmpl w:val="F8323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F0963"/>
    <w:multiLevelType w:val="hybridMultilevel"/>
    <w:tmpl w:val="A4A49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0747"/>
    <w:multiLevelType w:val="hybridMultilevel"/>
    <w:tmpl w:val="B94AC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A05B7"/>
    <w:multiLevelType w:val="hybridMultilevel"/>
    <w:tmpl w:val="D804A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6092F"/>
    <w:multiLevelType w:val="multilevel"/>
    <w:tmpl w:val="F3C8D3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0325B36"/>
    <w:multiLevelType w:val="hybridMultilevel"/>
    <w:tmpl w:val="FEC6A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A52AC"/>
    <w:multiLevelType w:val="hybridMultilevel"/>
    <w:tmpl w:val="916A2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11E6F"/>
    <w:multiLevelType w:val="hybridMultilevel"/>
    <w:tmpl w:val="742C5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61EFC"/>
    <w:multiLevelType w:val="hybridMultilevel"/>
    <w:tmpl w:val="5636A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84172"/>
    <w:multiLevelType w:val="hybridMultilevel"/>
    <w:tmpl w:val="F3B04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F11F6"/>
    <w:multiLevelType w:val="hybridMultilevel"/>
    <w:tmpl w:val="9D4E6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33356"/>
    <w:multiLevelType w:val="hybridMultilevel"/>
    <w:tmpl w:val="77602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E4694"/>
    <w:multiLevelType w:val="hybridMultilevel"/>
    <w:tmpl w:val="E11E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C747F"/>
    <w:multiLevelType w:val="hybridMultilevel"/>
    <w:tmpl w:val="A6B0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C2FD7"/>
    <w:multiLevelType w:val="hybridMultilevel"/>
    <w:tmpl w:val="053E6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43B76"/>
    <w:multiLevelType w:val="hybridMultilevel"/>
    <w:tmpl w:val="A622D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C3B34"/>
    <w:multiLevelType w:val="hybridMultilevel"/>
    <w:tmpl w:val="83B6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92621"/>
    <w:multiLevelType w:val="hybridMultilevel"/>
    <w:tmpl w:val="73BE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C2B5A"/>
    <w:multiLevelType w:val="hybridMultilevel"/>
    <w:tmpl w:val="3E06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06522"/>
    <w:multiLevelType w:val="hybridMultilevel"/>
    <w:tmpl w:val="3D322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17"/>
  </w:num>
  <w:num w:numId="7">
    <w:abstractNumId w:val="5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19"/>
  </w:num>
  <w:num w:numId="13">
    <w:abstractNumId w:val="14"/>
  </w:num>
  <w:num w:numId="14">
    <w:abstractNumId w:val="4"/>
  </w:num>
  <w:num w:numId="15">
    <w:abstractNumId w:val="12"/>
  </w:num>
  <w:num w:numId="16">
    <w:abstractNumId w:val="6"/>
  </w:num>
  <w:num w:numId="17">
    <w:abstractNumId w:val="15"/>
  </w:num>
  <w:num w:numId="18">
    <w:abstractNumId w:val="18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7A"/>
    <w:rsid w:val="0001107C"/>
    <w:rsid w:val="00020377"/>
    <w:rsid w:val="00025A0E"/>
    <w:rsid w:val="00025B0B"/>
    <w:rsid w:val="00033A8E"/>
    <w:rsid w:val="000366FF"/>
    <w:rsid w:val="00040FF2"/>
    <w:rsid w:val="00044616"/>
    <w:rsid w:val="00050449"/>
    <w:rsid w:val="00054D9A"/>
    <w:rsid w:val="0005638A"/>
    <w:rsid w:val="0008421F"/>
    <w:rsid w:val="0009713C"/>
    <w:rsid w:val="000A2863"/>
    <w:rsid w:val="000A37C5"/>
    <w:rsid w:val="000A77E4"/>
    <w:rsid w:val="000D0B54"/>
    <w:rsid w:val="000D6E0E"/>
    <w:rsid w:val="000F31E5"/>
    <w:rsid w:val="000F5DEF"/>
    <w:rsid w:val="001003BA"/>
    <w:rsid w:val="001034EE"/>
    <w:rsid w:val="00105C38"/>
    <w:rsid w:val="00112B48"/>
    <w:rsid w:val="001158FB"/>
    <w:rsid w:val="0012653A"/>
    <w:rsid w:val="00152BFE"/>
    <w:rsid w:val="00155CB5"/>
    <w:rsid w:val="00175652"/>
    <w:rsid w:val="0018113C"/>
    <w:rsid w:val="0018284A"/>
    <w:rsid w:val="00185922"/>
    <w:rsid w:val="001A63C2"/>
    <w:rsid w:val="001B425C"/>
    <w:rsid w:val="001B75C0"/>
    <w:rsid w:val="001C4754"/>
    <w:rsid w:val="001C4D34"/>
    <w:rsid w:val="001C4D40"/>
    <w:rsid w:val="001C6E3B"/>
    <w:rsid w:val="001D5D44"/>
    <w:rsid w:val="001E0764"/>
    <w:rsid w:val="001E66AF"/>
    <w:rsid w:val="001E6954"/>
    <w:rsid w:val="001F35F7"/>
    <w:rsid w:val="002048DC"/>
    <w:rsid w:val="00220D2C"/>
    <w:rsid w:val="0023349A"/>
    <w:rsid w:val="002430D5"/>
    <w:rsid w:val="002507BC"/>
    <w:rsid w:val="00252815"/>
    <w:rsid w:val="00254DCA"/>
    <w:rsid w:val="00255AB7"/>
    <w:rsid w:val="002566BB"/>
    <w:rsid w:val="0026600A"/>
    <w:rsid w:val="00270563"/>
    <w:rsid w:val="002705B2"/>
    <w:rsid w:val="00284B9F"/>
    <w:rsid w:val="00287FE0"/>
    <w:rsid w:val="002944C7"/>
    <w:rsid w:val="0029494A"/>
    <w:rsid w:val="002A5C7C"/>
    <w:rsid w:val="002B6124"/>
    <w:rsid w:val="002C1362"/>
    <w:rsid w:val="002C3803"/>
    <w:rsid w:val="002D1C8A"/>
    <w:rsid w:val="002E3313"/>
    <w:rsid w:val="002F1597"/>
    <w:rsid w:val="002F759B"/>
    <w:rsid w:val="003079A6"/>
    <w:rsid w:val="00313D9D"/>
    <w:rsid w:val="00321FE5"/>
    <w:rsid w:val="00326083"/>
    <w:rsid w:val="0033433B"/>
    <w:rsid w:val="00334B6A"/>
    <w:rsid w:val="0034263E"/>
    <w:rsid w:val="00343A46"/>
    <w:rsid w:val="0035050F"/>
    <w:rsid w:val="00380ACC"/>
    <w:rsid w:val="00392A92"/>
    <w:rsid w:val="0039398F"/>
    <w:rsid w:val="00393ABC"/>
    <w:rsid w:val="003947FB"/>
    <w:rsid w:val="003A4396"/>
    <w:rsid w:val="003A6BD4"/>
    <w:rsid w:val="003B2AB4"/>
    <w:rsid w:val="003B4128"/>
    <w:rsid w:val="003C2B83"/>
    <w:rsid w:val="003C3D7F"/>
    <w:rsid w:val="003D759C"/>
    <w:rsid w:val="003E37DB"/>
    <w:rsid w:val="003E68DE"/>
    <w:rsid w:val="003F0323"/>
    <w:rsid w:val="00401ADE"/>
    <w:rsid w:val="004040A6"/>
    <w:rsid w:val="00404C33"/>
    <w:rsid w:val="004126A6"/>
    <w:rsid w:val="004137DD"/>
    <w:rsid w:val="0041569E"/>
    <w:rsid w:val="00421B92"/>
    <w:rsid w:val="00424A32"/>
    <w:rsid w:val="00434230"/>
    <w:rsid w:val="0043740A"/>
    <w:rsid w:val="00443320"/>
    <w:rsid w:val="00451F5D"/>
    <w:rsid w:val="00453D41"/>
    <w:rsid w:val="004629D9"/>
    <w:rsid w:val="00467BAB"/>
    <w:rsid w:val="0047010A"/>
    <w:rsid w:val="00470417"/>
    <w:rsid w:val="004723DC"/>
    <w:rsid w:val="00486E27"/>
    <w:rsid w:val="00493761"/>
    <w:rsid w:val="00496E11"/>
    <w:rsid w:val="004A24A9"/>
    <w:rsid w:val="004B6A67"/>
    <w:rsid w:val="004C0F47"/>
    <w:rsid w:val="004C28F7"/>
    <w:rsid w:val="004C76D0"/>
    <w:rsid w:val="004C7C5A"/>
    <w:rsid w:val="004D3DC1"/>
    <w:rsid w:val="004E0858"/>
    <w:rsid w:val="004E5A33"/>
    <w:rsid w:val="004E5FAA"/>
    <w:rsid w:val="004F08B1"/>
    <w:rsid w:val="004F112B"/>
    <w:rsid w:val="004F659F"/>
    <w:rsid w:val="00507F98"/>
    <w:rsid w:val="0052108E"/>
    <w:rsid w:val="00537717"/>
    <w:rsid w:val="00560192"/>
    <w:rsid w:val="0056687B"/>
    <w:rsid w:val="00571736"/>
    <w:rsid w:val="0058123E"/>
    <w:rsid w:val="00583175"/>
    <w:rsid w:val="00587D46"/>
    <w:rsid w:val="005966F7"/>
    <w:rsid w:val="005C22E3"/>
    <w:rsid w:val="005C2F83"/>
    <w:rsid w:val="005D57C4"/>
    <w:rsid w:val="005F2DE8"/>
    <w:rsid w:val="005F40FC"/>
    <w:rsid w:val="005F7A7A"/>
    <w:rsid w:val="00611D77"/>
    <w:rsid w:val="006154BD"/>
    <w:rsid w:val="00623F94"/>
    <w:rsid w:val="00625DE9"/>
    <w:rsid w:val="00627093"/>
    <w:rsid w:val="0063119F"/>
    <w:rsid w:val="00645D82"/>
    <w:rsid w:val="006521ED"/>
    <w:rsid w:val="0065556E"/>
    <w:rsid w:val="00655AA6"/>
    <w:rsid w:val="00675B25"/>
    <w:rsid w:val="006915BA"/>
    <w:rsid w:val="00691E64"/>
    <w:rsid w:val="00695854"/>
    <w:rsid w:val="006A17A1"/>
    <w:rsid w:val="006A289B"/>
    <w:rsid w:val="006A3C66"/>
    <w:rsid w:val="006B186F"/>
    <w:rsid w:val="006B3DCD"/>
    <w:rsid w:val="006B54D0"/>
    <w:rsid w:val="006B55F8"/>
    <w:rsid w:val="006C2CE5"/>
    <w:rsid w:val="006C3DF6"/>
    <w:rsid w:val="006D4A18"/>
    <w:rsid w:val="006D63F3"/>
    <w:rsid w:val="006D7068"/>
    <w:rsid w:val="006E0075"/>
    <w:rsid w:val="006E0A89"/>
    <w:rsid w:val="006E79CF"/>
    <w:rsid w:val="007009A3"/>
    <w:rsid w:val="00705ABD"/>
    <w:rsid w:val="00707922"/>
    <w:rsid w:val="00711D4F"/>
    <w:rsid w:val="00723587"/>
    <w:rsid w:val="007276B9"/>
    <w:rsid w:val="00731300"/>
    <w:rsid w:val="00753C69"/>
    <w:rsid w:val="00763C47"/>
    <w:rsid w:val="007710C9"/>
    <w:rsid w:val="00776747"/>
    <w:rsid w:val="0077748D"/>
    <w:rsid w:val="007825C0"/>
    <w:rsid w:val="00783CCD"/>
    <w:rsid w:val="007955F5"/>
    <w:rsid w:val="007A4FEE"/>
    <w:rsid w:val="007A6947"/>
    <w:rsid w:val="007B5DE9"/>
    <w:rsid w:val="007C2EC4"/>
    <w:rsid w:val="007C3A8C"/>
    <w:rsid w:val="007E2217"/>
    <w:rsid w:val="007E3779"/>
    <w:rsid w:val="007E4B44"/>
    <w:rsid w:val="007F3187"/>
    <w:rsid w:val="007F58B0"/>
    <w:rsid w:val="0081701E"/>
    <w:rsid w:val="0083363C"/>
    <w:rsid w:val="00834E33"/>
    <w:rsid w:val="00836BC3"/>
    <w:rsid w:val="00836C17"/>
    <w:rsid w:val="008546AD"/>
    <w:rsid w:val="00855400"/>
    <w:rsid w:val="008577E0"/>
    <w:rsid w:val="00882A46"/>
    <w:rsid w:val="008A4BEC"/>
    <w:rsid w:val="008D3557"/>
    <w:rsid w:val="008F7635"/>
    <w:rsid w:val="00902163"/>
    <w:rsid w:val="00911774"/>
    <w:rsid w:val="0092622A"/>
    <w:rsid w:val="009366FD"/>
    <w:rsid w:val="00952B3F"/>
    <w:rsid w:val="00971E0A"/>
    <w:rsid w:val="00983D2E"/>
    <w:rsid w:val="00992D7D"/>
    <w:rsid w:val="009932AF"/>
    <w:rsid w:val="00996A64"/>
    <w:rsid w:val="00996F5F"/>
    <w:rsid w:val="009A2B54"/>
    <w:rsid w:val="009A754C"/>
    <w:rsid w:val="009B0B90"/>
    <w:rsid w:val="009B69CA"/>
    <w:rsid w:val="009B70C7"/>
    <w:rsid w:val="009C52E0"/>
    <w:rsid w:val="009C67D7"/>
    <w:rsid w:val="009F083D"/>
    <w:rsid w:val="00A1586F"/>
    <w:rsid w:val="00A21796"/>
    <w:rsid w:val="00A240C6"/>
    <w:rsid w:val="00A24229"/>
    <w:rsid w:val="00A40B12"/>
    <w:rsid w:val="00A44B0A"/>
    <w:rsid w:val="00A6255B"/>
    <w:rsid w:val="00A67A38"/>
    <w:rsid w:val="00A7141D"/>
    <w:rsid w:val="00A83D9B"/>
    <w:rsid w:val="00A85966"/>
    <w:rsid w:val="00A85CFE"/>
    <w:rsid w:val="00A86D88"/>
    <w:rsid w:val="00A936EA"/>
    <w:rsid w:val="00AA28F2"/>
    <w:rsid w:val="00AB2FD8"/>
    <w:rsid w:val="00AB427A"/>
    <w:rsid w:val="00AB505A"/>
    <w:rsid w:val="00AB661A"/>
    <w:rsid w:val="00AB6DA2"/>
    <w:rsid w:val="00AC5474"/>
    <w:rsid w:val="00AE1329"/>
    <w:rsid w:val="00AE16A6"/>
    <w:rsid w:val="00AE35DE"/>
    <w:rsid w:val="00AF04F7"/>
    <w:rsid w:val="00AF06D8"/>
    <w:rsid w:val="00B00967"/>
    <w:rsid w:val="00B028FF"/>
    <w:rsid w:val="00B24C31"/>
    <w:rsid w:val="00B25A11"/>
    <w:rsid w:val="00B26B45"/>
    <w:rsid w:val="00B37E75"/>
    <w:rsid w:val="00B43F95"/>
    <w:rsid w:val="00B44EDA"/>
    <w:rsid w:val="00B509C6"/>
    <w:rsid w:val="00B67828"/>
    <w:rsid w:val="00B74529"/>
    <w:rsid w:val="00B745CC"/>
    <w:rsid w:val="00B84819"/>
    <w:rsid w:val="00B86772"/>
    <w:rsid w:val="00B92F1E"/>
    <w:rsid w:val="00B9494F"/>
    <w:rsid w:val="00B97870"/>
    <w:rsid w:val="00BA393B"/>
    <w:rsid w:val="00BA3AD3"/>
    <w:rsid w:val="00BA4176"/>
    <w:rsid w:val="00BB3D95"/>
    <w:rsid w:val="00BB6C23"/>
    <w:rsid w:val="00BC3547"/>
    <w:rsid w:val="00BC639E"/>
    <w:rsid w:val="00BC6A06"/>
    <w:rsid w:val="00BD5A8A"/>
    <w:rsid w:val="00BD5D0B"/>
    <w:rsid w:val="00BF4A48"/>
    <w:rsid w:val="00C10EFD"/>
    <w:rsid w:val="00C15FE8"/>
    <w:rsid w:val="00C237DC"/>
    <w:rsid w:val="00C315FD"/>
    <w:rsid w:val="00C3365B"/>
    <w:rsid w:val="00C357D8"/>
    <w:rsid w:val="00C44E28"/>
    <w:rsid w:val="00C45EA0"/>
    <w:rsid w:val="00C463E7"/>
    <w:rsid w:val="00C46CD0"/>
    <w:rsid w:val="00C673C0"/>
    <w:rsid w:val="00C94FC9"/>
    <w:rsid w:val="00C966FD"/>
    <w:rsid w:val="00CA408E"/>
    <w:rsid w:val="00CB1B03"/>
    <w:rsid w:val="00CB6BBE"/>
    <w:rsid w:val="00CC42D6"/>
    <w:rsid w:val="00CD7896"/>
    <w:rsid w:val="00CF3AB1"/>
    <w:rsid w:val="00CF720F"/>
    <w:rsid w:val="00CF76D9"/>
    <w:rsid w:val="00D00DD6"/>
    <w:rsid w:val="00D0575E"/>
    <w:rsid w:val="00D1640F"/>
    <w:rsid w:val="00D22357"/>
    <w:rsid w:val="00D30FC0"/>
    <w:rsid w:val="00D418D2"/>
    <w:rsid w:val="00D425FA"/>
    <w:rsid w:val="00D64715"/>
    <w:rsid w:val="00D7483A"/>
    <w:rsid w:val="00D76751"/>
    <w:rsid w:val="00D86EFC"/>
    <w:rsid w:val="00DA6D1C"/>
    <w:rsid w:val="00DD2430"/>
    <w:rsid w:val="00DD72FA"/>
    <w:rsid w:val="00DE0837"/>
    <w:rsid w:val="00DF082E"/>
    <w:rsid w:val="00DF0D48"/>
    <w:rsid w:val="00DF1616"/>
    <w:rsid w:val="00DF1AF6"/>
    <w:rsid w:val="00DF31EC"/>
    <w:rsid w:val="00DF7CDC"/>
    <w:rsid w:val="00E046DC"/>
    <w:rsid w:val="00E1059E"/>
    <w:rsid w:val="00E319B2"/>
    <w:rsid w:val="00E57FD4"/>
    <w:rsid w:val="00E63D12"/>
    <w:rsid w:val="00E71D42"/>
    <w:rsid w:val="00E74EEB"/>
    <w:rsid w:val="00E77BC8"/>
    <w:rsid w:val="00E850C6"/>
    <w:rsid w:val="00E90585"/>
    <w:rsid w:val="00EA0853"/>
    <w:rsid w:val="00EA2EB2"/>
    <w:rsid w:val="00EA7620"/>
    <w:rsid w:val="00EB17AB"/>
    <w:rsid w:val="00EC31C7"/>
    <w:rsid w:val="00EC4918"/>
    <w:rsid w:val="00EC4E8E"/>
    <w:rsid w:val="00ED42FB"/>
    <w:rsid w:val="00ED4560"/>
    <w:rsid w:val="00EE2058"/>
    <w:rsid w:val="00F046C3"/>
    <w:rsid w:val="00F04817"/>
    <w:rsid w:val="00F06FA4"/>
    <w:rsid w:val="00F133AA"/>
    <w:rsid w:val="00F21A96"/>
    <w:rsid w:val="00F23F7E"/>
    <w:rsid w:val="00F33C63"/>
    <w:rsid w:val="00F404FC"/>
    <w:rsid w:val="00F40570"/>
    <w:rsid w:val="00F406F2"/>
    <w:rsid w:val="00F526DE"/>
    <w:rsid w:val="00F64FC1"/>
    <w:rsid w:val="00F6708A"/>
    <w:rsid w:val="00F677DD"/>
    <w:rsid w:val="00F74FBB"/>
    <w:rsid w:val="00F75871"/>
    <w:rsid w:val="00F82046"/>
    <w:rsid w:val="00F87F5E"/>
    <w:rsid w:val="00F90E5A"/>
    <w:rsid w:val="00F94659"/>
    <w:rsid w:val="00FA3508"/>
    <w:rsid w:val="00FB0959"/>
    <w:rsid w:val="00FB4C93"/>
    <w:rsid w:val="00FC385C"/>
    <w:rsid w:val="00FC6614"/>
    <w:rsid w:val="00FD33B6"/>
    <w:rsid w:val="00F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9C495C"/>
  <w15:docId w15:val="{B4099121-C58A-4B91-BFEA-A9E9390E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7A"/>
  </w:style>
  <w:style w:type="paragraph" w:styleId="Footer">
    <w:name w:val="footer"/>
    <w:basedOn w:val="Normal"/>
    <w:link w:val="FooterChar"/>
    <w:uiPriority w:val="99"/>
    <w:unhideWhenUsed/>
    <w:rsid w:val="005F7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7A"/>
  </w:style>
  <w:style w:type="character" w:customStyle="1" w:styleId="apple-converted-space">
    <w:name w:val="apple-converted-space"/>
    <w:basedOn w:val="DefaultParagraphFont"/>
    <w:rsid w:val="005F7A7A"/>
  </w:style>
  <w:style w:type="character" w:styleId="CommentReference">
    <w:name w:val="annotation reference"/>
    <w:basedOn w:val="DefaultParagraphFont"/>
    <w:uiPriority w:val="99"/>
    <w:semiHidden/>
    <w:unhideWhenUsed/>
    <w:rsid w:val="00A40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B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B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B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1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034EE"/>
    <w:pPr>
      <w:spacing w:after="0" w:line="240" w:lineRule="auto"/>
    </w:pPr>
  </w:style>
  <w:style w:type="paragraph" w:styleId="BodyText">
    <w:name w:val="Body Text"/>
    <w:basedOn w:val="Normal"/>
    <w:link w:val="BodyTextChar"/>
    <w:rsid w:val="00F0481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F04817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NoSpacing">
    <w:name w:val="No Spacing"/>
    <w:uiPriority w:val="1"/>
    <w:qFormat/>
    <w:rsid w:val="00F06F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77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ave.ac.uk\dfs$\Staff\Common\Personnel\Statistics\HR%20and%20Remco\February%202018\Graphs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ve.ac.uk\dfs$\Staff\Users\SEbanks\Documents\Diversity%20tabl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ve.ac.uk\dfs$\Staff\Users\SEbanks\Documents\Diversity%20tabl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rave.ac.uk\dfs$\Staff\Common\Personnel\Statistics\HR%20and%20Remco\February%202018\Graphs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rave.ac.uk\dfs$\Staff\Common\Personnel\Statistics\HR%20and%20Remco\February%202018\Graphs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ve.ac.uk\dfs$\Staff\Users\SEbanks\Documents\Diversity%20table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rave.ac.uk\dfs$\Staff\Common\Personnel\Statistics\HR%20and%20Remco\February%202018\Graphs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rave.ac.uk\dfs$\Staff\Common\Personnel\Statistics\HR%20and%20Remco\February%202018\Graphs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rave.ac.uk\dfs$\Staff\Common\Personnel\Statistics\HR%20and%20Remco\February%202018\Graphs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rave.ac.uk\dfs$\Staff\Common\Personnel\Statistics\2016-17\Full%20Statistics%20Spreadsheet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rave.ac.uk\dfs$\Staff\Common\Personnel\Statistics\HR%20and%20Remco\February%202018\Graph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rave.ac.uk\dfs$\Staff\Common\Personnel\Statistics\HR%20and%20Remco\February%202018\Graph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rave.ac.uk\dfs$\Staff\Common\Personnel\Statistics\HR%20and%20Remco\February%202018\Graph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rave.ac.uk\dfs$\Staff\Common\Personnel\Statistics\HR%20and%20Remco\February%202018\Graph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rave.ac.uk\dfs$\Staff\Common\Personnel\Statistics\HR%20and%20Remco\February%202018\Graph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rave.ac.uk\dfs$\Staff\Common\Personnel\Statistics\HR%20and%20Remco\February%202018\Graph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rave.ac.uk\dfs$\Staff\Common\Personnel\Statistics\HR%20and%20Remco\February%202018\Graph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rave.ac.uk\dfs$\Staff\Common\Personnel\Statistics\HR%20and%20Remco\February%202018\Graphs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rave.ac.uk\dfs$\Staff\Users\SEbanks\Documents\Diversity%20tabl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600">
                <a:solidFill>
                  <a:schemeClr val="tx2"/>
                </a:solidFill>
              </a:rPr>
              <a:t>Overall: Gender Composition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Male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0.52</c:v>
                </c:pt>
                <c:pt idx="1">
                  <c:v>0.49</c:v>
                </c:pt>
                <c:pt idx="2">
                  <c:v>0.49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70-4685-9D62-7DFBE5A4094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Female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0.48</c:v>
                </c:pt>
                <c:pt idx="1">
                  <c:v>0.51</c:v>
                </c:pt>
                <c:pt idx="2">
                  <c:v>0.51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D70-4685-9D62-7DFBE5A409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040192"/>
        <c:axId val="84622656"/>
      </c:lineChart>
      <c:catAx>
        <c:axId val="84040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4622656"/>
        <c:crosses val="autoZero"/>
        <c:auto val="1"/>
        <c:lblAlgn val="ctr"/>
        <c:lblOffset val="100"/>
        <c:noMultiLvlLbl val="0"/>
      </c:catAx>
      <c:valAx>
        <c:axId val="8462265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840401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600" b="1">
                <a:solidFill>
                  <a:schemeClr val="accent1">
                    <a:lumMod val="75000"/>
                  </a:schemeClr>
                </a:solidFill>
              </a:rPr>
              <a:t>BAME:</a:t>
            </a:r>
            <a:r>
              <a:rPr lang="en-GB" sz="1600" b="1" baseline="0">
                <a:solidFill>
                  <a:schemeClr val="accent1">
                    <a:lumMod val="75000"/>
                  </a:schemeClr>
                </a:solidFill>
              </a:rPr>
              <a:t>  Disability</a:t>
            </a:r>
            <a:endParaRPr lang="en-GB" sz="1600" b="1">
              <a:solidFill>
                <a:schemeClr val="accent1">
                  <a:lumMod val="75000"/>
                </a:schemeClr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Diversity!$B$40</c:f>
              <c:strCache>
                <c:ptCount val="1"/>
                <c:pt idx="0">
                  <c:v>Disability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Diversity!$C$39:$E$39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Diversity!$C$40:$E$40</c:f>
              <c:numCache>
                <c:formatCode>0%</c:formatCode>
                <c:ptCount val="3"/>
                <c:pt idx="0">
                  <c:v>7.0000000000000007E-2</c:v>
                </c:pt>
                <c:pt idx="1">
                  <c:v>0.06</c:v>
                </c:pt>
                <c:pt idx="2">
                  <c:v>0.06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7F3-4AA6-8E2A-D1A3B05C0C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63359007"/>
        <c:axId val="763351935"/>
        <c:extLst/>
      </c:lineChart>
      <c:catAx>
        <c:axId val="763359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3351935"/>
        <c:crosses val="autoZero"/>
        <c:auto val="1"/>
        <c:lblAlgn val="ctr"/>
        <c:lblOffset val="100"/>
        <c:noMultiLvlLbl val="0"/>
      </c:catAx>
      <c:valAx>
        <c:axId val="763351935"/>
        <c:scaling>
          <c:orientation val="minMax"/>
          <c:min val="5.000000000000001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3359007"/>
        <c:crosses val="autoZero"/>
        <c:crossBetween val="between"/>
        <c:majorUnit val="1.0000000000000002E-2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600" b="1" i="0" baseline="0">
                <a:solidFill>
                  <a:schemeClr val="accent1">
                    <a:lumMod val="75000"/>
                  </a:schemeClr>
                </a:solidFill>
                <a:effectLst/>
              </a:rPr>
              <a:t>BAME:  Salary Bandings</a:t>
            </a:r>
            <a:endParaRPr lang="en-GB" sz="1600">
              <a:solidFill>
                <a:schemeClr val="accent1">
                  <a:lumMod val="75000"/>
                </a:schemeClr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1531131222705049"/>
          <c:y val="0.15782407407407409"/>
          <c:w val="0.76255867394169086"/>
          <c:h val="0.54161380869058029"/>
        </c:manualLayout>
      </c:layout>
      <c:lineChart>
        <c:grouping val="standard"/>
        <c:varyColors val="0"/>
        <c:ser>
          <c:idx val="0"/>
          <c:order val="0"/>
          <c:tx>
            <c:strRef>
              <c:f>Diversity!$C$21</c:f>
              <c:strCache>
                <c:ptCount val="1"/>
                <c:pt idx="0">
                  <c:v>2014/15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Diversity!$B$22:$B$28</c:f>
              <c:strCache>
                <c:ptCount val="6"/>
                <c:pt idx="0">
                  <c:v>Band A</c:v>
                </c:pt>
                <c:pt idx="1">
                  <c:v>Band B</c:v>
                </c:pt>
                <c:pt idx="2">
                  <c:v>Band C</c:v>
                </c:pt>
                <c:pt idx="3">
                  <c:v>Band D</c:v>
                </c:pt>
                <c:pt idx="4">
                  <c:v>Band E</c:v>
                </c:pt>
                <c:pt idx="5">
                  <c:v>Band F</c:v>
                </c:pt>
              </c:strCache>
              <c:extLst/>
            </c:strRef>
          </c:cat>
          <c:val>
            <c:numRef>
              <c:f>Diversity!$C$22:$C$28</c:f>
              <c:numCache>
                <c:formatCode>0%</c:formatCode>
                <c:ptCount val="6"/>
                <c:pt idx="0">
                  <c:v>0.14285714285714285</c:v>
                </c:pt>
                <c:pt idx="1">
                  <c:v>0</c:v>
                </c:pt>
                <c:pt idx="2">
                  <c:v>0.4642857142857143</c:v>
                </c:pt>
                <c:pt idx="3">
                  <c:v>0.17857142857142858</c:v>
                </c:pt>
                <c:pt idx="4">
                  <c:v>0.14285714285714285</c:v>
                </c:pt>
                <c:pt idx="5">
                  <c:v>3.5714285714285712E-2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1BCA-4A83-A6BF-3BC8513A8640}"/>
            </c:ext>
          </c:extLst>
        </c:ser>
        <c:ser>
          <c:idx val="1"/>
          <c:order val="1"/>
          <c:tx>
            <c:strRef>
              <c:f>Diversity!$D$21</c:f>
              <c:strCache>
                <c:ptCount val="1"/>
                <c:pt idx="0">
                  <c:v>2015/16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Diversity!$B$22:$B$28</c:f>
              <c:strCache>
                <c:ptCount val="6"/>
                <c:pt idx="0">
                  <c:v>Band A</c:v>
                </c:pt>
                <c:pt idx="1">
                  <c:v>Band B</c:v>
                </c:pt>
                <c:pt idx="2">
                  <c:v>Band C</c:v>
                </c:pt>
                <c:pt idx="3">
                  <c:v>Band D</c:v>
                </c:pt>
                <c:pt idx="4">
                  <c:v>Band E</c:v>
                </c:pt>
                <c:pt idx="5">
                  <c:v>Band F</c:v>
                </c:pt>
              </c:strCache>
              <c:extLst/>
            </c:strRef>
          </c:cat>
          <c:val>
            <c:numRef>
              <c:f>Diversity!$D$22:$D$28</c:f>
              <c:numCache>
                <c:formatCode>0%</c:formatCode>
                <c:ptCount val="6"/>
                <c:pt idx="0">
                  <c:v>0.10416666666666667</c:v>
                </c:pt>
                <c:pt idx="1">
                  <c:v>4.1666666666666664E-2</c:v>
                </c:pt>
                <c:pt idx="2">
                  <c:v>0.4375</c:v>
                </c:pt>
                <c:pt idx="3">
                  <c:v>0.1875</c:v>
                </c:pt>
                <c:pt idx="4">
                  <c:v>0.14583333333333334</c:v>
                </c:pt>
                <c:pt idx="5">
                  <c:v>4.1666666666666664E-2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1BCA-4A83-A6BF-3BC8513A8640}"/>
            </c:ext>
          </c:extLst>
        </c:ser>
        <c:ser>
          <c:idx val="2"/>
          <c:order val="2"/>
          <c:tx>
            <c:strRef>
              <c:f>Diversity!$E$21</c:f>
              <c:strCache>
                <c:ptCount val="1"/>
                <c:pt idx="0">
                  <c:v>2016/17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Diversity!$B$22:$B$28</c:f>
              <c:strCache>
                <c:ptCount val="6"/>
                <c:pt idx="0">
                  <c:v>Band A</c:v>
                </c:pt>
                <c:pt idx="1">
                  <c:v>Band B</c:v>
                </c:pt>
                <c:pt idx="2">
                  <c:v>Band C</c:v>
                </c:pt>
                <c:pt idx="3">
                  <c:v>Band D</c:v>
                </c:pt>
                <c:pt idx="4">
                  <c:v>Band E</c:v>
                </c:pt>
                <c:pt idx="5">
                  <c:v>Band F</c:v>
                </c:pt>
              </c:strCache>
              <c:extLst/>
            </c:strRef>
          </c:cat>
          <c:val>
            <c:numRef>
              <c:f>Diversity!$E$22:$E$28</c:f>
              <c:numCache>
                <c:formatCode>0%</c:formatCode>
                <c:ptCount val="6"/>
                <c:pt idx="0">
                  <c:v>0.11764705882352941</c:v>
                </c:pt>
                <c:pt idx="1">
                  <c:v>9.8039215686274508E-2</c:v>
                </c:pt>
                <c:pt idx="2">
                  <c:v>0.37254901960784315</c:v>
                </c:pt>
                <c:pt idx="3">
                  <c:v>0.19607843137254902</c:v>
                </c:pt>
                <c:pt idx="4">
                  <c:v>0.15686274509803921</c:v>
                </c:pt>
                <c:pt idx="5">
                  <c:v>3.9215686274509803E-2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1BCA-4A83-A6BF-3BC8513A86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63359007"/>
        <c:axId val="763351935"/>
        <c:extLst/>
      </c:lineChart>
      <c:catAx>
        <c:axId val="763359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3351935"/>
        <c:crosses val="autoZero"/>
        <c:auto val="1"/>
        <c:lblAlgn val="ctr"/>
        <c:lblOffset val="100"/>
        <c:noMultiLvlLbl val="0"/>
      </c:catAx>
      <c:valAx>
        <c:axId val="763351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335900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>
                <a:solidFill>
                  <a:schemeClr val="tx2"/>
                </a:solidFill>
              </a:rPr>
              <a:t>Disabled Staff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Sheet1!$B$50</c:f>
              <c:strCache>
                <c:ptCount val="1"/>
                <c:pt idx="0">
                  <c:v>Disabled Staff</c:v>
                </c:pt>
              </c:strCache>
            </c:strRef>
          </c:tx>
          <c:cat>
            <c:strRef>
              <c:f>Sheet1!$A$51:$A$53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Sheet1!$B$51:$B$53</c:f>
              <c:numCache>
                <c:formatCode>0%</c:formatCode>
                <c:ptCount val="3"/>
                <c:pt idx="0">
                  <c:v>0.15</c:v>
                </c:pt>
                <c:pt idx="1">
                  <c:v>0.12</c:v>
                </c:pt>
                <c:pt idx="2">
                  <c:v>0.12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5C9-4D2F-8191-0F003CA3DE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968064"/>
        <c:axId val="140355840"/>
      </c:lineChart>
      <c:catAx>
        <c:axId val="1469680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0355840"/>
        <c:crosses val="autoZero"/>
        <c:auto val="1"/>
        <c:lblAlgn val="ctr"/>
        <c:lblOffset val="100"/>
        <c:noMultiLvlLbl val="0"/>
      </c:catAx>
      <c:valAx>
        <c:axId val="14035584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469680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600">
                <a:solidFill>
                  <a:schemeClr val="tx2"/>
                </a:solidFill>
              </a:rPr>
              <a:t>Two Ticks: Job Applicants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Sheet1!$B$55</c:f>
              <c:strCache>
                <c:ptCount val="1"/>
                <c:pt idx="0">
                  <c:v>Two Ticks Applicants</c:v>
                </c:pt>
              </c:strCache>
            </c:strRef>
          </c:tx>
          <c:cat>
            <c:strRef>
              <c:f>Sheet1!$A$56:$A$58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Sheet1!$B$56:$B$58</c:f>
              <c:numCache>
                <c:formatCode>General</c:formatCode>
                <c:ptCount val="3"/>
                <c:pt idx="0">
                  <c:v>27</c:v>
                </c:pt>
                <c:pt idx="1">
                  <c:v>33</c:v>
                </c:pt>
                <c:pt idx="2">
                  <c:v>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7BC-4F67-BFE8-547D83E56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190272"/>
        <c:axId val="147462912"/>
      </c:lineChart>
      <c:catAx>
        <c:axId val="147190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7462912"/>
        <c:crosses val="autoZero"/>
        <c:auto val="1"/>
        <c:lblAlgn val="ctr"/>
        <c:lblOffset val="100"/>
        <c:noMultiLvlLbl val="0"/>
      </c:catAx>
      <c:valAx>
        <c:axId val="14746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190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600" b="1">
                <a:solidFill>
                  <a:schemeClr val="tx2"/>
                </a:solidFill>
              </a:rPr>
              <a:t>Salary</a:t>
            </a:r>
            <a:r>
              <a:rPr lang="en-GB" sz="1600" b="1" baseline="0">
                <a:solidFill>
                  <a:schemeClr val="tx2"/>
                </a:solidFill>
              </a:rPr>
              <a:t> Bandings</a:t>
            </a:r>
            <a:r>
              <a:rPr lang="en-GB" sz="1600" b="1">
                <a:solidFill>
                  <a:schemeClr val="tx2"/>
                </a:solidFill>
              </a:rPr>
              <a:t>:  Disabled Staff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Diversity!$B$44</c:f>
              <c:strCache>
                <c:ptCount val="1"/>
                <c:pt idx="0">
                  <c:v>Disability</c:v>
                </c:pt>
              </c:strCache>
            </c:strRef>
          </c:tx>
          <c:spPr>
            <a:ln w="38100" cap="rnd">
              <a:solidFill>
                <a:schemeClr val="accent3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3"/>
              </a:solidFill>
              <a:ln w="12700">
                <a:solidFill>
                  <a:schemeClr val="accent3"/>
                </a:solidFill>
              </a:ln>
              <a:effectLst/>
            </c:spPr>
          </c:marker>
          <c:cat>
            <c:strRef>
              <c:f>Diversity!$C$43:$J$43</c:f>
              <c:strCache>
                <c:ptCount val="6"/>
                <c:pt idx="0">
                  <c:v>Band A</c:v>
                </c:pt>
                <c:pt idx="1">
                  <c:v>Band B</c:v>
                </c:pt>
                <c:pt idx="2">
                  <c:v>Band C</c:v>
                </c:pt>
                <c:pt idx="3">
                  <c:v>Band D</c:v>
                </c:pt>
                <c:pt idx="4">
                  <c:v>Band E</c:v>
                </c:pt>
                <c:pt idx="5">
                  <c:v>Band F</c:v>
                </c:pt>
              </c:strCache>
              <c:extLst/>
            </c:strRef>
          </c:cat>
          <c:val>
            <c:numRef>
              <c:f>Diversity!$C$44:$J$44</c:f>
              <c:numCache>
                <c:formatCode>0%</c:formatCode>
                <c:ptCount val="6"/>
                <c:pt idx="0">
                  <c:v>0.04</c:v>
                </c:pt>
                <c:pt idx="1">
                  <c:v>0.11</c:v>
                </c:pt>
                <c:pt idx="2">
                  <c:v>7.0000000000000007E-2</c:v>
                </c:pt>
                <c:pt idx="3">
                  <c:v>0.19</c:v>
                </c:pt>
                <c:pt idx="4">
                  <c:v>0.45</c:v>
                </c:pt>
                <c:pt idx="5">
                  <c:v>7.0000000000000007E-2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48B0-48B4-A12A-591B2AA0FD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2960607"/>
        <c:axId val="1982963935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Diversity!$B$45</c15:sqref>
                        </c15:formulaRef>
                      </c:ext>
                    </c:extLst>
                    <c:strCache>
                      <c:ptCount val="1"/>
                      <c:pt idx="0">
                        <c:v>Salary Bandings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Diversity!$C$43:$J$43</c15:sqref>
                        </c15:formulaRef>
                      </c:ext>
                    </c:extLst>
                    <c:strCache>
                      <c:ptCount val="6"/>
                      <c:pt idx="0">
                        <c:v>Band A</c:v>
                      </c:pt>
                      <c:pt idx="1">
                        <c:v>Band B</c:v>
                      </c:pt>
                      <c:pt idx="2">
                        <c:v>Band C</c:v>
                      </c:pt>
                      <c:pt idx="3">
                        <c:v>Band D</c:v>
                      </c:pt>
                      <c:pt idx="4">
                        <c:v>Band E</c:v>
                      </c:pt>
                      <c:pt idx="5">
                        <c:v>Band F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Diversity!$C$45:$J$45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0.11764705882352941</c:v>
                      </c:pt>
                      <c:pt idx="1">
                        <c:v>9.8039215686274508E-2</c:v>
                      </c:pt>
                      <c:pt idx="2">
                        <c:v>0.37254901960784315</c:v>
                      </c:pt>
                      <c:pt idx="3">
                        <c:v>0.19607843137254902</c:v>
                      </c:pt>
                      <c:pt idx="4">
                        <c:v>0.15686274509803921</c:v>
                      </c:pt>
                      <c:pt idx="5">
                        <c:v>3.9215686274509803E-2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1-48B0-48B4-A12A-591B2AA0FD95}"/>
                  </c:ext>
                </c:extLst>
              </c15:ser>
            </c15:filteredLineSeries>
          </c:ext>
        </c:extLst>
      </c:lineChart>
      <c:catAx>
        <c:axId val="19829606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2963935"/>
        <c:crosses val="autoZero"/>
        <c:auto val="1"/>
        <c:lblAlgn val="ctr"/>
        <c:lblOffset val="100"/>
        <c:noMultiLvlLbl val="0"/>
      </c:catAx>
      <c:valAx>
        <c:axId val="1982963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296060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600">
                <a:solidFill>
                  <a:schemeClr val="tx2"/>
                </a:solidFill>
              </a:rPr>
              <a:t>Disability Status: Middle Managers</a:t>
            </a:r>
          </a:p>
        </c:rich>
      </c:tx>
      <c:layout>
        <c:manualLayout>
          <c:xMode val="edge"/>
          <c:yMode val="edge"/>
          <c:x val="0.40280579710144926"/>
          <c:y val="2.5450689289501591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Sheet1!$G$112:$G$113</c:f>
              <c:strCache>
                <c:ptCount val="1"/>
                <c:pt idx="0">
                  <c:v>Middle Managers Disabled</c:v>
                </c:pt>
              </c:strCache>
            </c:strRef>
          </c:tx>
          <c:cat>
            <c:strRef>
              <c:f>Sheet1!$F$114:$F$116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Sheet1!$G$114:$G$116</c:f>
              <c:numCache>
                <c:formatCode>0%</c:formatCode>
                <c:ptCount val="3"/>
                <c:pt idx="0">
                  <c:v>0.2</c:v>
                </c:pt>
                <c:pt idx="1">
                  <c:v>0.09</c:v>
                </c:pt>
                <c:pt idx="2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E7-471A-A2D1-E0BBDADB2ECB}"/>
            </c:ext>
          </c:extLst>
        </c:ser>
        <c:ser>
          <c:idx val="1"/>
          <c:order val="1"/>
          <c:tx>
            <c:strRef>
              <c:f>Sheet1!$H$112:$H$113</c:f>
              <c:strCache>
                <c:ptCount val="1"/>
                <c:pt idx="0">
                  <c:v>Middle Managers No known disability</c:v>
                </c:pt>
              </c:strCache>
            </c:strRef>
          </c:tx>
          <c:cat>
            <c:strRef>
              <c:f>Sheet1!$F$114:$F$116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Sheet1!$H$114:$H$116</c:f>
              <c:numCache>
                <c:formatCode>0%</c:formatCode>
                <c:ptCount val="3"/>
                <c:pt idx="0">
                  <c:v>0.8</c:v>
                </c:pt>
                <c:pt idx="1">
                  <c:v>0.91</c:v>
                </c:pt>
                <c:pt idx="2">
                  <c:v>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8E7-471A-A2D1-E0BBDADB2E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943104"/>
        <c:axId val="153593536"/>
      </c:lineChart>
      <c:catAx>
        <c:axId val="1529431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3593536"/>
        <c:crosses val="autoZero"/>
        <c:auto val="1"/>
        <c:lblAlgn val="ctr"/>
        <c:lblOffset val="100"/>
        <c:noMultiLvlLbl val="0"/>
      </c:catAx>
      <c:valAx>
        <c:axId val="15359353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529431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600">
                <a:solidFill>
                  <a:schemeClr val="tx2"/>
                </a:solidFill>
              </a:rPr>
              <a:t>Disability</a:t>
            </a:r>
            <a:r>
              <a:rPr lang="en-GB" sz="1600" baseline="0">
                <a:solidFill>
                  <a:schemeClr val="tx2"/>
                </a:solidFill>
              </a:rPr>
              <a:t>: Executive Team</a:t>
            </a:r>
            <a:endParaRPr lang="en-GB" sz="1600">
              <a:solidFill>
                <a:schemeClr val="tx2"/>
              </a:solidFill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Sheet1!$K$161:$K$162</c:f>
              <c:strCache>
                <c:ptCount val="1"/>
                <c:pt idx="0">
                  <c:v>Executive Disabled</c:v>
                </c:pt>
              </c:strCache>
            </c:strRef>
          </c:tx>
          <c:cat>
            <c:strRef>
              <c:f>Sheet1!$J$163:$J$165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Sheet1!$K$163:$K$165</c:f>
              <c:numCache>
                <c:formatCode>0%</c:formatCode>
                <c:ptCount val="3"/>
                <c:pt idx="0">
                  <c:v>0.28999999999999998</c:v>
                </c:pt>
                <c:pt idx="1">
                  <c:v>0.2</c:v>
                </c:pt>
                <c:pt idx="2">
                  <c:v>0.22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107-4A94-86F7-6597E5360B44}"/>
            </c:ext>
          </c:extLst>
        </c:ser>
        <c:ser>
          <c:idx val="1"/>
          <c:order val="1"/>
          <c:tx>
            <c:strRef>
              <c:f>Sheet1!$L$161:$L$162</c:f>
              <c:strCache>
                <c:ptCount val="1"/>
                <c:pt idx="0">
                  <c:v>Executive No known disability</c:v>
                </c:pt>
              </c:strCache>
            </c:strRef>
          </c:tx>
          <c:cat>
            <c:strRef>
              <c:f>Sheet1!$J$163:$J$165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Sheet1!$L$163:$L$165</c:f>
              <c:numCache>
                <c:formatCode>0%</c:formatCode>
                <c:ptCount val="3"/>
                <c:pt idx="0">
                  <c:v>0.71</c:v>
                </c:pt>
                <c:pt idx="1">
                  <c:v>0.8</c:v>
                </c:pt>
                <c:pt idx="2">
                  <c:v>0.78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07-4A94-86F7-6597E5360B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860480"/>
        <c:axId val="178726592"/>
      </c:lineChart>
      <c:catAx>
        <c:axId val="147860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8726592"/>
        <c:crosses val="autoZero"/>
        <c:auto val="1"/>
        <c:lblAlgn val="ctr"/>
        <c:lblOffset val="100"/>
        <c:noMultiLvlLbl val="0"/>
      </c:catAx>
      <c:valAx>
        <c:axId val="17872659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478604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600">
                <a:solidFill>
                  <a:schemeClr val="accent1">
                    <a:lumMod val="75000"/>
                  </a:schemeClr>
                </a:solidFill>
              </a:rPr>
              <a:t>D</a:t>
            </a:r>
            <a:r>
              <a:rPr lang="en-GB" sz="1600">
                <a:solidFill>
                  <a:schemeClr val="tx2"/>
                </a:solidFill>
              </a:rPr>
              <a:t>isability Status: Academics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Sheet1!$J$168:$J$169</c:f>
              <c:strCache>
                <c:ptCount val="1"/>
                <c:pt idx="0">
                  <c:v>Academic Disabled</c:v>
                </c:pt>
              </c:strCache>
            </c:strRef>
          </c:tx>
          <c:cat>
            <c:strRef>
              <c:f>Sheet1!$I$170:$I$172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Sheet1!$J$170:$J$172</c:f>
              <c:numCache>
                <c:formatCode>0%</c:formatCode>
                <c:ptCount val="3"/>
                <c:pt idx="0">
                  <c:v>0.16</c:v>
                </c:pt>
                <c:pt idx="1">
                  <c:v>0.13</c:v>
                </c:pt>
                <c:pt idx="2">
                  <c:v>0.13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E58-4E60-84D1-A479B840D4C5}"/>
            </c:ext>
          </c:extLst>
        </c:ser>
        <c:ser>
          <c:idx val="1"/>
          <c:order val="1"/>
          <c:tx>
            <c:strRef>
              <c:f>Sheet1!$K$168:$K$169</c:f>
              <c:strCache>
                <c:ptCount val="1"/>
                <c:pt idx="0">
                  <c:v>Academic No known disability</c:v>
                </c:pt>
              </c:strCache>
            </c:strRef>
          </c:tx>
          <c:cat>
            <c:strRef>
              <c:f>Sheet1!$I$170:$I$172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Sheet1!$K$170:$K$172</c:f>
              <c:numCache>
                <c:formatCode>0%</c:formatCode>
                <c:ptCount val="3"/>
                <c:pt idx="0">
                  <c:v>0.84</c:v>
                </c:pt>
                <c:pt idx="1">
                  <c:v>0.87</c:v>
                </c:pt>
                <c:pt idx="2">
                  <c:v>0.87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E58-4E60-84D1-A479B840D4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506240"/>
        <c:axId val="140355264"/>
      </c:lineChart>
      <c:catAx>
        <c:axId val="178506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0355264"/>
        <c:crosses val="autoZero"/>
        <c:auto val="1"/>
        <c:lblAlgn val="ctr"/>
        <c:lblOffset val="100"/>
        <c:noMultiLvlLbl val="0"/>
      </c:catAx>
      <c:valAx>
        <c:axId val="14035526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785062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600">
                <a:solidFill>
                  <a:schemeClr val="tx2"/>
                </a:solidFill>
              </a:rPr>
              <a:t>Length of Service: </a:t>
            </a:r>
          </a:p>
          <a:p>
            <a:pPr>
              <a:defRPr/>
            </a:pPr>
            <a:r>
              <a:rPr lang="en-GB" sz="1600">
                <a:solidFill>
                  <a:schemeClr val="tx2"/>
                </a:solidFill>
              </a:rPr>
              <a:t>Disabled</a:t>
            </a:r>
            <a:r>
              <a:rPr lang="en-GB" sz="1600" baseline="0">
                <a:solidFill>
                  <a:schemeClr val="tx2"/>
                </a:solidFill>
              </a:rPr>
              <a:t> Staff</a:t>
            </a:r>
            <a:endParaRPr lang="en-GB" sz="1600">
              <a:solidFill>
                <a:schemeClr val="tx2"/>
              </a:solidFill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'Disability+LOS'!$E$34</c:f>
              <c:strCache>
                <c:ptCount val="1"/>
                <c:pt idx="0">
                  <c:v>0-1 years</c:v>
                </c:pt>
              </c:strCache>
            </c:strRef>
          </c:tx>
          <c:cat>
            <c:multiLvlStrRef>
              <c:f>'Disability+LOS'!$F$32:$H$33</c:f>
              <c:multiLvlStrCache>
                <c:ptCount val="3"/>
                <c:lvl>
                  <c:pt idx="0">
                    <c:v>2014-15</c:v>
                  </c:pt>
                  <c:pt idx="1">
                    <c:v>2015-16</c:v>
                  </c:pt>
                  <c:pt idx="2">
                    <c:v>2016-17</c:v>
                  </c:pt>
                </c:lvl>
                <c:lvl>
                  <c:pt idx="0">
                    <c:v>Length of Service</c:v>
                  </c:pt>
                </c:lvl>
              </c:multiLvlStrCache>
            </c:multiLvlStrRef>
          </c:cat>
          <c:val>
            <c:numRef>
              <c:f>'Disability+LOS'!$F$34:$H$34</c:f>
              <c:numCache>
                <c:formatCode>0%</c:formatCode>
                <c:ptCount val="3"/>
                <c:pt idx="0">
                  <c:v>0.31</c:v>
                </c:pt>
                <c:pt idx="1">
                  <c:v>0.19</c:v>
                </c:pt>
                <c:pt idx="2">
                  <c:v>0.26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9CD-4A22-AB26-D9B0D01BAF0E}"/>
            </c:ext>
          </c:extLst>
        </c:ser>
        <c:ser>
          <c:idx val="1"/>
          <c:order val="1"/>
          <c:tx>
            <c:strRef>
              <c:f>'Disability+LOS'!$E$35</c:f>
              <c:strCache>
                <c:ptCount val="1"/>
                <c:pt idx="0">
                  <c:v>2-4 years</c:v>
                </c:pt>
              </c:strCache>
            </c:strRef>
          </c:tx>
          <c:cat>
            <c:multiLvlStrRef>
              <c:f>'Disability+LOS'!$F$32:$H$33</c:f>
              <c:multiLvlStrCache>
                <c:ptCount val="3"/>
                <c:lvl>
                  <c:pt idx="0">
                    <c:v>2014-15</c:v>
                  </c:pt>
                  <c:pt idx="1">
                    <c:v>2015-16</c:v>
                  </c:pt>
                  <c:pt idx="2">
                    <c:v>2016-17</c:v>
                  </c:pt>
                </c:lvl>
                <c:lvl>
                  <c:pt idx="0">
                    <c:v>Length of Service</c:v>
                  </c:pt>
                </c:lvl>
              </c:multiLvlStrCache>
            </c:multiLvlStrRef>
          </c:cat>
          <c:val>
            <c:numRef>
              <c:f>'Disability+LOS'!$F$35:$H$35</c:f>
              <c:numCache>
                <c:formatCode>0%</c:formatCode>
                <c:ptCount val="3"/>
                <c:pt idx="0">
                  <c:v>0.15</c:v>
                </c:pt>
                <c:pt idx="1">
                  <c:v>0.27</c:v>
                </c:pt>
                <c:pt idx="2">
                  <c:v>0.22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9CD-4A22-AB26-D9B0D01BAF0E}"/>
            </c:ext>
          </c:extLst>
        </c:ser>
        <c:ser>
          <c:idx val="2"/>
          <c:order val="2"/>
          <c:tx>
            <c:strRef>
              <c:f>'Disability+LOS'!$E$36</c:f>
              <c:strCache>
                <c:ptCount val="1"/>
                <c:pt idx="0">
                  <c:v>5+ years</c:v>
                </c:pt>
              </c:strCache>
            </c:strRef>
          </c:tx>
          <c:cat>
            <c:multiLvlStrRef>
              <c:f>'Disability+LOS'!$F$32:$H$33</c:f>
              <c:multiLvlStrCache>
                <c:ptCount val="3"/>
                <c:lvl>
                  <c:pt idx="0">
                    <c:v>2014-15</c:v>
                  </c:pt>
                  <c:pt idx="1">
                    <c:v>2015-16</c:v>
                  </c:pt>
                  <c:pt idx="2">
                    <c:v>2016-17</c:v>
                  </c:pt>
                </c:lvl>
                <c:lvl>
                  <c:pt idx="0">
                    <c:v>Length of Service</c:v>
                  </c:pt>
                </c:lvl>
              </c:multiLvlStrCache>
            </c:multiLvlStrRef>
          </c:cat>
          <c:val>
            <c:numRef>
              <c:f>'Disability+LOS'!$F$36:$H$36</c:f>
              <c:numCache>
                <c:formatCode>0%</c:formatCode>
                <c:ptCount val="3"/>
                <c:pt idx="0">
                  <c:v>0.54</c:v>
                </c:pt>
                <c:pt idx="1">
                  <c:v>0.54</c:v>
                </c:pt>
                <c:pt idx="2">
                  <c:v>0.52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9CD-4A22-AB26-D9B0D01BAF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3177600"/>
        <c:axId val="153847488"/>
      </c:lineChart>
      <c:catAx>
        <c:axId val="1531776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3847488"/>
        <c:crosses val="autoZero"/>
        <c:auto val="1"/>
        <c:lblAlgn val="ctr"/>
        <c:lblOffset val="100"/>
        <c:noMultiLvlLbl val="0"/>
      </c:catAx>
      <c:valAx>
        <c:axId val="15384748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531776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600">
                <a:solidFill>
                  <a:schemeClr val="tx2"/>
                </a:solidFill>
              </a:rPr>
              <a:t>Age Composition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Sheet1!$C$88:$C$89</c:f>
              <c:strCache>
                <c:ptCount val="1"/>
                <c:pt idx="0">
                  <c:v>Age 18-30</c:v>
                </c:pt>
              </c:strCache>
            </c:strRef>
          </c:tx>
          <c:cat>
            <c:strRef>
              <c:f>Sheet1!$B$90:$B$92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Sheet1!$C$90:$C$92</c:f>
              <c:numCache>
                <c:formatCode>0%</c:formatCode>
                <c:ptCount val="3"/>
                <c:pt idx="0">
                  <c:v>0.17</c:v>
                </c:pt>
                <c:pt idx="1">
                  <c:v>0.2</c:v>
                </c:pt>
                <c:pt idx="2">
                  <c:v>0.18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D8E-44BB-9BD5-3036CDA58D28}"/>
            </c:ext>
          </c:extLst>
        </c:ser>
        <c:ser>
          <c:idx val="1"/>
          <c:order val="1"/>
          <c:tx>
            <c:strRef>
              <c:f>Sheet1!$D$88:$D$89</c:f>
              <c:strCache>
                <c:ptCount val="1"/>
                <c:pt idx="0">
                  <c:v>Age 31-40</c:v>
                </c:pt>
              </c:strCache>
            </c:strRef>
          </c:tx>
          <c:cat>
            <c:strRef>
              <c:f>Sheet1!$B$90:$B$92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Sheet1!$D$90:$D$92</c:f>
              <c:numCache>
                <c:formatCode>0%</c:formatCode>
                <c:ptCount val="3"/>
                <c:pt idx="0">
                  <c:v>0.32</c:v>
                </c:pt>
                <c:pt idx="1">
                  <c:v>0.31</c:v>
                </c:pt>
                <c:pt idx="2">
                  <c:v>0.31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D8E-44BB-9BD5-3036CDA58D28}"/>
            </c:ext>
          </c:extLst>
        </c:ser>
        <c:ser>
          <c:idx val="2"/>
          <c:order val="2"/>
          <c:tx>
            <c:strRef>
              <c:f>Sheet1!$F$88:$F$89</c:f>
              <c:strCache>
                <c:ptCount val="1"/>
                <c:pt idx="0">
                  <c:v>Age 41-50</c:v>
                </c:pt>
              </c:strCache>
            </c:strRef>
          </c:tx>
          <c:cat>
            <c:strRef>
              <c:f>Sheet1!$B$90:$B$92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Sheet1!$F$90:$F$92</c:f>
              <c:numCache>
                <c:formatCode>0%</c:formatCode>
                <c:ptCount val="3"/>
                <c:pt idx="0">
                  <c:v>0.26</c:v>
                </c:pt>
                <c:pt idx="1">
                  <c:v>0.23</c:v>
                </c:pt>
                <c:pt idx="2">
                  <c:v>0.25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D8E-44BB-9BD5-3036CDA58D28}"/>
            </c:ext>
          </c:extLst>
        </c:ser>
        <c:ser>
          <c:idx val="3"/>
          <c:order val="3"/>
          <c:tx>
            <c:strRef>
              <c:f>Sheet1!$G$88:$G$89</c:f>
              <c:strCache>
                <c:ptCount val="1"/>
                <c:pt idx="0">
                  <c:v>Age 51-60</c:v>
                </c:pt>
              </c:strCache>
            </c:strRef>
          </c:tx>
          <c:cat>
            <c:strRef>
              <c:f>Sheet1!$B$90:$B$92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Sheet1!$G$90:$G$92</c:f>
              <c:numCache>
                <c:formatCode>0%</c:formatCode>
                <c:ptCount val="3"/>
                <c:pt idx="0">
                  <c:v>0.16</c:v>
                </c:pt>
                <c:pt idx="1">
                  <c:v>0.18</c:v>
                </c:pt>
                <c:pt idx="2">
                  <c:v>0.21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D8E-44BB-9BD5-3036CDA58D28}"/>
            </c:ext>
          </c:extLst>
        </c:ser>
        <c:ser>
          <c:idx val="4"/>
          <c:order val="4"/>
          <c:tx>
            <c:strRef>
              <c:f>Sheet1!$H$88:$H$89</c:f>
              <c:strCache>
                <c:ptCount val="1"/>
                <c:pt idx="0">
                  <c:v>Age 61+</c:v>
                </c:pt>
              </c:strCache>
            </c:strRef>
          </c:tx>
          <c:cat>
            <c:strRef>
              <c:f>Sheet1!$B$90:$B$92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Sheet1!$H$90:$H$92</c:f>
              <c:numCache>
                <c:formatCode>0%</c:formatCode>
                <c:ptCount val="3"/>
                <c:pt idx="0">
                  <c:v>0.08</c:v>
                </c:pt>
                <c:pt idx="1">
                  <c:v>0.08</c:v>
                </c:pt>
                <c:pt idx="2">
                  <c:v>0.05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D8E-44BB-9BD5-3036CDA58D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859456"/>
        <c:axId val="140361024"/>
      </c:lineChart>
      <c:catAx>
        <c:axId val="147859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0361024"/>
        <c:crosses val="autoZero"/>
        <c:auto val="1"/>
        <c:lblAlgn val="ctr"/>
        <c:lblOffset val="100"/>
        <c:noMultiLvlLbl val="0"/>
      </c:catAx>
      <c:valAx>
        <c:axId val="14036102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478594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600">
                <a:solidFill>
                  <a:schemeClr val="tx2"/>
                </a:solidFill>
              </a:rPr>
              <a:t>Academic</a:t>
            </a:r>
            <a:r>
              <a:rPr lang="en-GB" sz="1600" baseline="0">
                <a:solidFill>
                  <a:schemeClr val="tx2"/>
                </a:solidFill>
              </a:rPr>
              <a:t> Staff: Gender Composition</a:t>
            </a:r>
            <a:endParaRPr lang="en-GB" sz="1600">
              <a:solidFill>
                <a:schemeClr val="tx2"/>
              </a:solidFill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Sheet1!$A$7</c:f>
              <c:strCache>
                <c:ptCount val="1"/>
                <c:pt idx="0">
                  <c:v>Male</c:v>
                </c:pt>
              </c:strCache>
            </c:strRef>
          </c:tx>
          <c:cat>
            <c:strRef>
              <c:f>Sheet1!$B$6:$D$6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Sheet1!$B$7:$D$7</c:f>
              <c:numCache>
                <c:formatCode>0%</c:formatCode>
                <c:ptCount val="3"/>
                <c:pt idx="0">
                  <c:v>0.66</c:v>
                </c:pt>
                <c:pt idx="1">
                  <c:v>0.61</c:v>
                </c:pt>
                <c:pt idx="2">
                  <c:v>0.63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910-4242-82AE-5C2951046FA1}"/>
            </c:ext>
          </c:extLst>
        </c:ser>
        <c:ser>
          <c:idx val="1"/>
          <c:order val="1"/>
          <c:tx>
            <c:strRef>
              <c:f>Sheet1!$A$8</c:f>
              <c:strCache>
                <c:ptCount val="1"/>
                <c:pt idx="0">
                  <c:v>Female</c:v>
                </c:pt>
              </c:strCache>
            </c:strRef>
          </c:tx>
          <c:cat>
            <c:strRef>
              <c:f>Sheet1!$B$6:$D$6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Sheet1!$B$8:$D$8</c:f>
              <c:numCache>
                <c:formatCode>0%</c:formatCode>
                <c:ptCount val="3"/>
                <c:pt idx="0">
                  <c:v>0.34</c:v>
                </c:pt>
                <c:pt idx="1">
                  <c:v>0.39</c:v>
                </c:pt>
                <c:pt idx="2">
                  <c:v>0.37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910-4242-82AE-5C2951046F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726464"/>
        <c:axId val="108127360"/>
      </c:lineChart>
      <c:catAx>
        <c:axId val="137726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8127360"/>
        <c:crosses val="autoZero"/>
        <c:auto val="1"/>
        <c:lblAlgn val="ctr"/>
        <c:lblOffset val="100"/>
        <c:noMultiLvlLbl val="0"/>
      </c:catAx>
      <c:valAx>
        <c:axId val="1081273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377264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>
                <a:solidFill>
                  <a:schemeClr val="tx2"/>
                </a:solidFill>
              </a:rPr>
              <a:t>Gender Composition: </a:t>
            </a:r>
          </a:p>
          <a:p>
            <a:pPr>
              <a:defRPr/>
            </a:pPr>
            <a:r>
              <a:rPr lang="en-US" sz="1600">
                <a:solidFill>
                  <a:schemeClr val="tx2"/>
                </a:solidFill>
              </a:rPr>
              <a:t>Middle Managers</a:t>
            </a:r>
          </a:p>
        </c:rich>
      </c:tx>
      <c:layout>
        <c:manualLayout>
          <c:xMode val="edge"/>
          <c:yMode val="edge"/>
          <c:x val="0.35043733117397169"/>
          <c:y val="2.6590693257359924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Sheet1!$B$99:$B$100</c:f>
              <c:strCache>
                <c:ptCount val="1"/>
                <c:pt idx="0">
                  <c:v>Middle Managers Male</c:v>
                </c:pt>
              </c:strCache>
            </c:strRef>
          </c:tx>
          <c:cat>
            <c:strRef>
              <c:f>Sheet1!$A$101:$A$103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Sheet1!$B$101:$B$103</c:f>
              <c:numCache>
                <c:formatCode>0%</c:formatCode>
                <c:ptCount val="3"/>
                <c:pt idx="0">
                  <c:v>0.3</c:v>
                </c:pt>
                <c:pt idx="1">
                  <c:v>0.23</c:v>
                </c:pt>
                <c:pt idx="2">
                  <c:v>0.28999999999999998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D4-4C4C-AC85-A3BBA1478D4B}"/>
            </c:ext>
          </c:extLst>
        </c:ser>
        <c:ser>
          <c:idx val="1"/>
          <c:order val="1"/>
          <c:tx>
            <c:strRef>
              <c:f>Sheet1!$C$99:$C$100</c:f>
              <c:strCache>
                <c:ptCount val="1"/>
                <c:pt idx="0">
                  <c:v>Middle Managers Female</c:v>
                </c:pt>
              </c:strCache>
            </c:strRef>
          </c:tx>
          <c:cat>
            <c:strRef>
              <c:f>Sheet1!$A$101:$A$103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Sheet1!$C$101:$C$103</c:f>
              <c:numCache>
                <c:formatCode>0%</c:formatCode>
                <c:ptCount val="3"/>
                <c:pt idx="0">
                  <c:v>0.7</c:v>
                </c:pt>
                <c:pt idx="1">
                  <c:v>0.77</c:v>
                </c:pt>
                <c:pt idx="2">
                  <c:v>0.71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7D4-4C4C-AC85-A3BBA1478D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191296"/>
        <c:axId val="147491648"/>
      </c:lineChart>
      <c:catAx>
        <c:axId val="147191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7491648"/>
        <c:crosses val="autoZero"/>
        <c:auto val="1"/>
        <c:lblAlgn val="ctr"/>
        <c:lblOffset val="100"/>
        <c:noMultiLvlLbl val="0"/>
      </c:catAx>
      <c:valAx>
        <c:axId val="14749164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471912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>
                <a:solidFill>
                  <a:schemeClr val="tx2"/>
                </a:solidFill>
              </a:rPr>
              <a:t>Gender Composition:</a:t>
            </a:r>
            <a:r>
              <a:rPr lang="en-US" sz="1600" baseline="0">
                <a:solidFill>
                  <a:schemeClr val="tx2"/>
                </a:solidFill>
              </a:rPr>
              <a:t> </a:t>
            </a:r>
          </a:p>
          <a:p>
            <a:pPr>
              <a:defRPr/>
            </a:pPr>
            <a:r>
              <a:rPr lang="en-US" sz="1600">
                <a:solidFill>
                  <a:schemeClr val="tx2"/>
                </a:solidFill>
              </a:rPr>
              <a:t>Executive Team</a:t>
            </a:r>
          </a:p>
        </c:rich>
      </c:tx>
      <c:layout>
        <c:manualLayout>
          <c:xMode val="edge"/>
          <c:yMode val="edge"/>
          <c:x val="0.29964497041420118"/>
          <c:y val="3.4188034188034191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Sheet1!$B$106:$B$107</c:f>
              <c:strCache>
                <c:ptCount val="1"/>
                <c:pt idx="0">
                  <c:v>Executive Male</c:v>
                </c:pt>
              </c:strCache>
            </c:strRef>
          </c:tx>
          <c:cat>
            <c:strRef>
              <c:f>Sheet1!$A$108:$A$110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Sheet1!$B$108:$B$110</c:f>
              <c:numCache>
                <c:formatCode>0%</c:formatCode>
                <c:ptCount val="3"/>
                <c:pt idx="0">
                  <c:v>0.56999999999999995</c:v>
                </c:pt>
                <c:pt idx="1">
                  <c:v>0.6</c:v>
                </c:pt>
                <c:pt idx="2">
                  <c:v>0.55000000000000004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603-4F60-B188-604D0518FD96}"/>
            </c:ext>
          </c:extLst>
        </c:ser>
        <c:ser>
          <c:idx val="1"/>
          <c:order val="1"/>
          <c:tx>
            <c:strRef>
              <c:f>Sheet1!$C$106:$C$107</c:f>
              <c:strCache>
                <c:ptCount val="1"/>
                <c:pt idx="0">
                  <c:v>Executive Female</c:v>
                </c:pt>
              </c:strCache>
            </c:strRef>
          </c:tx>
          <c:cat>
            <c:strRef>
              <c:f>Sheet1!$A$108:$A$110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Sheet1!$C$108:$C$110</c:f>
              <c:numCache>
                <c:formatCode>0%</c:formatCode>
                <c:ptCount val="3"/>
                <c:pt idx="0">
                  <c:v>0.43</c:v>
                </c:pt>
                <c:pt idx="1">
                  <c:v>0.4</c:v>
                </c:pt>
                <c:pt idx="2">
                  <c:v>0.45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603-4F60-B188-604D0518FD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965504"/>
        <c:axId val="148260544"/>
      </c:lineChart>
      <c:catAx>
        <c:axId val="1469655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8260544"/>
        <c:crosses val="autoZero"/>
        <c:auto val="1"/>
        <c:lblAlgn val="ctr"/>
        <c:lblOffset val="100"/>
        <c:noMultiLvlLbl val="0"/>
      </c:catAx>
      <c:valAx>
        <c:axId val="14826054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469655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>
                <a:solidFill>
                  <a:schemeClr val="tx2"/>
                </a:solidFill>
              </a:rPr>
              <a:t>BAME Staff: Overall 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Sheet1!$B$29</c:f>
              <c:strCache>
                <c:ptCount val="1"/>
                <c:pt idx="0">
                  <c:v>BAME Staff</c:v>
                </c:pt>
              </c:strCache>
            </c:strRef>
          </c:tx>
          <c:cat>
            <c:strRef>
              <c:f>Sheet1!$A$30:$A$32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Sheet1!$B$30:$B$32</c:f>
              <c:numCache>
                <c:formatCode>0%</c:formatCode>
                <c:ptCount val="3"/>
                <c:pt idx="0">
                  <c:v>0.16</c:v>
                </c:pt>
                <c:pt idx="1">
                  <c:v>0.23</c:v>
                </c:pt>
                <c:pt idx="2">
                  <c:v>0.23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907-4EF1-BC8A-DD5FF3764C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041408"/>
        <c:axId val="147456576"/>
      </c:lineChart>
      <c:catAx>
        <c:axId val="810414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7456576"/>
        <c:crosses val="autoZero"/>
        <c:auto val="1"/>
        <c:lblAlgn val="ctr"/>
        <c:lblOffset val="100"/>
        <c:noMultiLvlLbl val="0"/>
      </c:catAx>
      <c:valAx>
        <c:axId val="1474565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810414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600">
                <a:solidFill>
                  <a:schemeClr val="tx2"/>
                </a:solidFill>
              </a:rPr>
              <a:t>BAME Composition</a:t>
            </a:r>
            <a:r>
              <a:rPr lang="en-GB" sz="1600" baseline="0">
                <a:solidFill>
                  <a:schemeClr val="tx2"/>
                </a:solidFill>
              </a:rPr>
              <a:t>: Professional Service &amp; Academic Staff</a:t>
            </a:r>
            <a:endParaRPr lang="en-GB" sz="1600">
              <a:solidFill>
                <a:schemeClr val="tx2"/>
              </a:solidFill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Sheet1!$P$33</c:f>
              <c:strCache>
                <c:ptCount val="1"/>
                <c:pt idx="0">
                  <c:v>Professional Services</c:v>
                </c:pt>
              </c:strCache>
            </c:strRef>
          </c:tx>
          <c:cat>
            <c:strRef>
              <c:f>Sheet1!$Q$32:$S$32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Sheet1!$Q$33:$S$33</c:f>
              <c:numCache>
                <c:formatCode>0%</c:formatCode>
                <c:ptCount val="3"/>
                <c:pt idx="0">
                  <c:v>0.24</c:v>
                </c:pt>
                <c:pt idx="1">
                  <c:v>0.34</c:v>
                </c:pt>
                <c:pt idx="2">
                  <c:v>0.34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287-4631-8EE6-5D75FF3246C7}"/>
            </c:ext>
          </c:extLst>
        </c:ser>
        <c:ser>
          <c:idx val="1"/>
          <c:order val="1"/>
          <c:tx>
            <c:strRef>
              <c:f>Sheet1!$P$34</c:f>
              <c:strCache>
                <c:ptCount val="1"/>
                <c:pt idx="0">
                  <c:v>Academic</c:v>
                </c:pt>
              </c:strCache>
            </c:strRef>
          </c:tx>
          <c:cat>
            <c:strRef>
              <c:f>Sheet1!$Q$32:$S$32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Sheet1!$Q$34:$S$34</c:f>
              <c:numCache>
                <c:formatCode>0%</c:formatCode>
                <c:ptCount val="3"/>
                <c:pt idx="0">
                  <c:v>0.06</c:v>
                </c:pt>
                <c:pt idx="1">
                  <c:v>0.09</c:v>
                </c:pt>
                <c:pt idx="2">
                  <c:v>0.05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287-4631-8EE6-5D75FF3246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042432"/>
        <c:axId val="137111232"/>
      </c:lineChart>
      <c:catAx>
        <c:axId val="81042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7111232"/>
        <c:crosses val="autoZero"/>
        <c:auto val="1"/>
        <c:lblAlgn val="ctr"/>
        <c:lblOffset val="100"/>
        <c:noMultiLvlLbl val="0"/>
      </c:catAx>
      <c:valAx>
        <c:axId val="13711123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810424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>
                <a:solidFill>
                  <a:schemeClr val="tx2"/>
                </a:solidFill>
              </a:rPr>
              <a:t>Ethnicity: Middle Managers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Sheet1!$B$112:$B$113</c:f>
              <c:strCache>
                <c:ptCount val="1"/>
                <c:pt idx="0">
                  <c:v>Middle Managers BAME</c:v>
                </c:pt>
              </c:strCache>
            </c:strRef>
          </c:tx>
          <c:cat>
            <c:strRef>
              <c:f>Sheet1!$A$114:$A$116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Sheet1!$B$114:$B$116</c:f>
              <c:numCache>
                <c:formatCode>0%</c:formatCode>
                <c:ptCount val="3"/>
                <c:pt idx="0">
                  <c:v>0.05</c:v>
                </c:pt>
                <c:pt idx="1">
                  <c:v>0.11</c:v>
                </c:pt>
                <c:pt idx="2">
                  <c:v>0.24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CD0-42B7-A52A-0CA4D8F72B7B}"/>
            </c:ext>
          </c:extLst>
        </c:ser>
        <c:ser>
          <c:idx val="1"/>
          <c:order val="1"/>
          <c:tx>
            <c:strRef>
              <c:f>Sheet1!$C$112:$C$113</c:f>
              <c:strCache>
                <c:ptCount val="1"/>
                <c:pt idx="0">
                  <c:v>Middle Managers White</c:v>
                </c:pt>
              </c:strCache>
            </c:strRef>
          </c:tx>
          <c:cat>
            <c:strRef>
              <c:f>Sheet1!$A$114:$A$116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Sheet1!$C$114:$C$116</c:f>
              <c:numCache>
                <c:formatCode>0%</c:formatCode>
                <c:ptCount val="3"/>
                <c:pt idx="0">
                  <c:v>0.95</c:v>
                </c:pt>
                <c:pt idx="1">
                  <c:v>0.89</c:v>
                </c:pt>
                <c:pt idx="2">
                  <c:v>0.76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CD0-42B7-A52A-0CA4D8F72B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062720"/>
        <c:axId val="84618624"/>
      </c:lineChart>
      <c:catAx>
        <c:axId val="84062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4618624"/>
        <c:crosses val="autoZero"/>
        <c:auto val="1"/>
        <c:lblAlgn val="ctr"/>
        <c:lblOffset val="100"/>
        <c:noMultiLvlLbl val="0"/>
      </c:catAx>
      <c:valAx>
        <c:axId val="8461862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840627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600">
                <a:solidFill>
                  <a:schemeClr val="tx2"/>
                </a:solidFill>
              </a:rPr>
              <a:t>Ethnicity:</a:t>
            </a:r>
            <a:r>
              <a:rPr lang="en-GB" sz="1600" baseline="0">
                <a:solidFill>
                  <a:schemeClr val="tx2"/>
                </a:solidFill>
              </a:rPr>
              <a:t> Executive Staff</a:t>
            </a:r>
            <a:endParaRPr lang="en-GB" sz="1600">
              <a:solidFill>
                <a:schemeClr val="tx2"/>
              </a:solidFill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Sheet1!$B$140:$B$141</c:f>
              <c:strCache>
                <c:ptCount val="1"/>
                <c:pt idx="0">
                  <c:v>Executive BAME</c:v>
                </c:pt>
              </c:strCache>
            </c:strRef>
          </c:tx>
          <c:cat>
            <c:strRef>
              <c:f>Sheet1!$A$142:$A$144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Sheet1!$B$142:$B$144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0.2</c:v>
                </c:pt>
                <c:pt idx="2">
                  <c:v>0.11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82A-423A-887A-C43091EFAF9F}"/>
            </c:ext>
          </c:extLst>
        </c:ser>
        <c:ser>
          <c:idx val="1"/>
          <c:order val="1"/>
          <c:tx>
            <c:strRef>
              <c:f>Sheet1!$C$140:$C$141</c:f>
              <c:strCache>
                <c:ptCount val="1"/>
                <c:pt idx="0">
                  <c:v>Executive White</c:v>
                </c:pt>
              </c:strCache>
            </c:strRef>
          </c:tx>
          <c:cat>
            <c:strRef>
              <c:f>Sheet1!$A$142:$A$144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Sheet1!$C$142:$C$144</c:f>
              <c:numCache>
                <c:formatCode>0%</c:formatCode>
                <c:ptCount val="3"/>
                <c:pt idx="0">
                  <c:v>0.86</c:v>
                </c:pt>
                <c:pt idx="1">
                  <c:v>0.8</c:v>
                </c:pt>
                <c:pt idx="2">
                  <c:v>0.89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82A-423A-887A-C43091EFAF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14784"/>
        <c:axId val="84620352"/>
      </c:lineChart>
      <c:catAx>
        <c:axId val="42147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4620352"/>
        <c:crosses val="autoZero"/>
        <c:auto val="1"/>
        <c:lblAlgn val="ctr"/>
        <c:lblOffset val="100"/>
        <c:noMultiLvlLbl val="0"/>
      </c:catAx>
      <c:valAx>
        <c:axId val="8462035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42147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600" b="1">
                <a:solidFill>
                  <a:schemeClr val="accent1">
                    <a:lumMod val="75000"/>
                  </a:schemeClr>
                </a:solidFill>
              </a:rPr>
              <a:t>BAME Composition:</a:t>
            </a:r>
            <a:r>
              <a:rPr lang="en-GB" sz="1600" b="1" baseline="0">
                <a:solidFill>
                  <a:schemeClr val="accent1">
                    <a:lumMod val="75000"/>
                  </a:schemeClr>
                </a:solidFill>
              </a:rPr>
              <a:t>  Gender</a:t>
            </a:r>
            <a:endParaRPr lang="en-GB" sz="1600" b="1">
              <a:solidFill>
                <a:schemeClr val="accent1">
                  <a:lumMod val="75000"/>
                </a:schemeClr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Diversity!$B$34</c:f>
              <c:strCache>
                <c:ptCount val="1"/>
                <c:pt idx="0">
                  <c:v>Male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Diversity!$C$33:$E$33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Diversity!$C$34:$E$34</c:f>
              <c:numCache>
                <c:formatCode>0%</c:formatCode>
                <c:ptCount val="3"/>
                <c:pt idx="0">
                  <c:v>0.5</c:v>
                </c:pt>
                <c:pt idx="1">
                  <c:v>0.46</c:v>
                </c:pt>
                <c:pt idx="2">
                  <c:v>0.41176470588235292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C3-4567-826C-C27312ADC862}"/>
            </c:ext>
          </c:extLst>
        </c:ser>
        <c:ser>
          <c:idx val="1"/>
          <c:order val="1"/>
          <c:tx>
            <c:strRef>
              <c:f>Diversity!$B$35</c:f>
              <c:strCache>
                <c:ptCount val="1"/>
                <c:pt idx="0">
                  <c:v>Female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Diversity!$C$33:$E$33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Diversity!$C$35:$E$35</c:f>
              <c:numCache>
                <c:formatCode>0%</c:formatCode>
                <c:ptCount val="3"/>
                <c:pt idx="0">
                  <c:v>0.5</c:v>
                </c:pt>
                <c:pt idx="1">
                  <c:v>0.54</c:v>
                </c:pt>
                <c:pt idx="2">
                  <c:v>0.58823529411764708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8C3-4567-826C-C27312ADC8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63359007"/>
        <c:axId val="763351935"/>
      </c:lineChart>
      <c:catAx>
        <c:axId val="763359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3351935"/>
        <c:crosses val="autoZero"/>
        <c:auto val="1"/>
        <c:lblAlgn val="ctr"/>
        <c:lblOffset val="100"/>
        <c:noMultiLvlLbl val="0"/>
      </c:catAx>
      <c:valAx>
        <c:axId val="763351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335900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AB3A5-680D-402A-8C16-808A56E3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Holland, Alexandra</dc:creator>
  <cp:lastModifiedBy>Doreen deBellotte</cp:lastModifiedBy>
  <cp:revision>2</cp:revision>
  <cp:lastPrinted>2018-02-23T09:40:00Z</cp:lastPrinted>
  <dcterms:created xsi:type="dcterms:W3CDTF">2018-02-26T14:33:00Z</dcterms:created>
  <dcterms:modified xsi:type="dcterms:W3CDTF">2018-02-26T14:33:00Z</dcterms:modified>
</cp:coreProperties>
</file>